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AC433">
      <w:pPr>
        <w:pStyle w:val="9"/>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15</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506610</w:t>
      </w:r>
      <w:bookmarkStart w:id="10" w:name="_GoBack"/>
      <w:bookmarkEnd w:id="10"/>
      <w:r>
        <w:rPr>
          <w:b/>
          <w:sz w:val="24"/>
          <w:szCs w:val="24"/>
          <w:highlight w:val="none"/>
        </w:rPr>
        <w:t xml:space="preserve">                          </w:t>
      </w:r>
    </w:p>
    <w:bookmarkEnd w:id="0"/>
    <w:bookmarkEnd w:id="1"/>
    <w:p w14:paraId="5C25862B">
      <w:pPr>
        <w:pStyle w:val="9"/>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Malta, MT, 19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23</w:t>
      </w:r>
      <w:r>
        <w:rPr>
          <w:rFonts w:hint="default" w:ascii="Times New Roman" w:hAnsi="Times New Roman" w:eastAsia="宋体" w:cs="Times New Roman"/>
          <w:b/>
          <w:sz w:val="24"/>
          <w:szCs w:val="24"/>
          <w:vertAlign w:val="superscript"/>
          <w:lang w:eastAsia="zh-CN"/>
        </w:rPr>
        <w:t>rd</w:t>
      </w:r>
      <w:r>
        <w:rPr>
          <w:rFonts w:hint="default" w:ascii="Times New Roman" w:hAnsi="Times New Roman" w:eastAsia="宋体" w:cs="Times New Roman"/>
          <w:b/>
          <w:sz w:val="24"/>
          <w:szCs w:val="24"/>
          <w:lang w:eastAsia="zh-CN"/>
        </w:rPr>
        <w:t xml:space="preserve"> May</w:t>
      </w:r>
      <w:r>
        <w:rPr>
          <w:rFonts w:hint="default" w:ascii="Times New Roman" w:hAnsi="Times New Roman" w:cs="Times New Roman"/>
          <w:b/>
          <w:bCs/>
          <w:sz w:val="24"/>
          <w:highlight w:val="none"/>
        </w:rPr>
        <w:t>, 2025</w:t>
      </w:r>
    </w:p>
    <w:p w14:paraId="25DD33A5">
      <w:pPr>
        <w:tabs>
          <w:tab w:val="left" w:pos="1985"/>
        </w:tabs>
        <w:rPr>
          <w:rFonts w:ascii="Times New Roman" w:hAnsi="Times New Roman"/>
          <w:b/>
          <w:sz w:val="22"/>
          <w:highlight w:val="none"/>
        </w:rPr>
      </w:pPr>
    </w:p>
    <w:p w14:paraId="4D850D59">
      <w:pPr>
        <w:tabs>
          <w:tab w:val="left" w:pos="1765"/>
        </w:tabs>
        <w:rPr>
          <w:rFonts w:hint="eastAsia"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23</w:t>
      </w:r>
      <w:r>
        <w:rPr>
          <w:rFonts w:hint="eastAsia" w:ascii="Times New Roman" w:hAnsi="Times New Roman"/>
          <w:sz w:val="22"/>
          <w:highlight w:val="none"/>
        </w:rPr>
        <w:t>.</w:t>
      </w:r>
      <w:r>
        <w:rPr>
          <w:rFonts w:hint="eastAsia" w:ascii="Times New Roman" w:hAnsi="Times New Roman"/>
          <w:sz w:val="22"/>
          <w:highlight w:val="none"/>
          <w:lang w:val="en-US" w:eastAsia="zh-CN"/>
        </w:rPr>
        <w:t>2</w:t>
      </w:r>
    </w:p>
    <w:p w14:paraId="34FDAAB4">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CC4585F">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general part</w:t>
      </w:r>
      <w:r>
        <w:rPr>
          <w:rFonts w:hint="eastAsia" w:ascii="Times New Roman" w:hAnsi="Times New Roman"/>
          <w:sz w:val="22"/>
          <w:lang w:val="en-US" w:eastAsia="zh-CN"/>
        </w:rPr>
        <w:t xml:space="preserve"> for AI/ML for mobilit</w:t>
      </w:r>
      <w:r>
        <w:rPr>
          <w:rFonts w:hint="eastAsia" w:ascii="Times New Roman" w:hAnsi="Times New Roman"/>
          <w:sz w:val="22"/>
          <w:highlight w:val="none"/>
          <w:lang w:val="en-US" w:eastAsia="zh-CN"/>
        </w:rPr>
        <w:t>y</w:t>
      </w:r>
    </w:p>
    <w:bookmarkEnd w:id="4"/>
    <w:bookmarkEnd w:id="5"/>
    <w:p w14:paraId="0006DBE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15C959F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A1774DF">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105</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S</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[1]. The objectives for RAN4 are duplicated as following.</w:t>
      </w:r>
    </w:p>
    <w:tbl>
      <w:tblPr>
        <w:tblStyle w:val="10"/>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3F3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930" w:type="dxa"/>
            <w:noWrap w:val="0"/>
            <w:vAlign w:val="top"/>
          </w:tcPr>
          <w:p w14:paraId="18A7EA0D">
            <w:pPr>
              <w:widowControl w:val="0"/>
              <w:numPr>
                <w:ilvl w:val="0"/>
                <w:numId w:val="3"/>
              </w:numPr>
              <w:overflowPunct/>
              <w:autoSpaceDE/>
              <w:autoSpaceDN/>
              <w:adjustRightInd/>
              <w:spacing w:after="0"/>
              <w:ind w:hanging="357"/>
              <w:jc w:val="both"/>
              <w:textAlignment w:val="auto"/>
              <w:rPr>
                <w:rFonts w:hint="default" w:ascii="Times New Roman" w:hAnsi="Times New Roman" w:cs="Times New Roman"/>
                <w:bCs/>
                <w:sz w:val="20"/>
                <w:szCs w:val="20"/>
              </w:rPr>
            </w:pPr>
            <w:bookmarkStart w:id="6" w:name="_Hlk153472406"/>
            <w:r>
              <w:rPr>
                <w:rFonts w:hint="default" w:ascii="Times New Roman" w:hAnsi="Times New Roman" w:cs="Times New Roman"/>
                <w:bCs/>
                <w:sz w:val="20"/>
                <w:szCs w:val="20"/>
                <w:lang w:eastAsia="zh-CN"/>
              </w:rPr>
              <w:t>Evaluate testability, interoperability,</w:t>
            </w:r>
            <w:bookmarkEnd w:id="6"/>
            <w:r>
              <w:rPr>
                <w:rFonts w:hint="default" w:ascii="Times New Roman" w:hAnsi="Times New Roman" w:cs="Times New Roman"/>
                <w:bCs/>
                <w:sz w:val="20"/>
                <w:szCs w:val="20"/>
                <w:lang w:eastAsia="zh-CN"/>
              </w:rPr>
              <w:t xml:space="preserve"> and </w:t>
            </w:r>
            <w:r>
              <w:rPr>
                <w:rFonts w:hint="default" w:ascii="Times New Roman" w:hAnsi="Times New Roman" w:cs="Times New Roman"/>
                <w:bCs/>
                <w:sz w:val="20"/>
                <w:szCs w:val="20"/>
              </w:rPr>
              <w:t>impacts on RRM requirements and performance</w:t>
            </w:r>
            <w:r>
              <w:rPr>
                <w:rFonts w:hint="default" w:ascii="Times New Roman" w:hAnsi="Times New Roman" w:cs="Times New Roman"/>
                <w:bCs/>
                <w:sz w:val="20"/>
                <w:szCs w:val="20"/>
                <w:lang w:eastAsia="zh-CN"/>
              </w:rPr>
              <w:t xml:space="preserve"> [RAN4]</w:t>
            </w:r>
          </w:p>
          <w:p w14:paraId="5CB11B01">
            <w:pPr>
              <w:widowControl w:val="0"/>
              <w:numPr>
                <w:ilvl w:val="1"/>
                <w:numId w:val="3"/>
              </w:numPr>
              <w:tabs>
                <w:tab w:val="left" w:pos="720"/>
              </w:tabs>
              <w:overflowPunct/>
              <w:autoSpaceDE/>
              <w:autoSpaceDN/>
              <w:adjustRightInd/>
              <w:spacing w:after="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Study the impacts on requirements based on RAN2 assumptions, and coordinate with RAN2 if needed </w:t>
            </w:r>
          </w:p>
          <w:p w14:paraId="46918C95">
            <w:pPr>
              <w:widowControl w:val="0"/>
              <w:numPr>
                <w:ilvl w:val="1"/>
                <w:numId w:val="3"/>
              </w:numPr>
              <w:tabs>
                <w:tab w:val="left" w:pos="720"/>
              </w:tabs>
              <w:overflowPunct/>
              <w:autoSpaceDE/>
              <w:autoSpaceDN/>
              <w:adjustRightInd/>
              <w:spacing w:after="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Study the testability and interoperability based on RAN2 framework (e.g., number of cells to measure, beams etc.)</w:t>
            </w:r>
          </w:p>
          <w:p w14:paraId="0DDA5A89">
            <w:pPr>
              <w:pStyle w:val="13"/>
              <w:widowControl w:val="0"/>
              <w:numPr>
                <w:ilvl w:val="1"/>
                <w:numId w:val="3"/>
              </w:numPr>
              <w:overflowPunct/>
              <w:autoSpaceDE/>
              <w:autoSpaceDN/>
              <w:adjustRightInd/>
              <w:spacing w:after="0"/>
              <w:ind w:firstLineChars="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NOTE 4: Leverage the work from “AI/ML for NR air interface” led by RAN1 and avoid the duplicate study for testability and interoperability. </w:t>
            </w:r>
          </w:p>
          <w:p w14:paraId="2F32914E">
            <w:pPr>
              <w:pStyle w:val="13"/>
              <w:widowControl w:val="0"/>
              <w:numPr>
                <w:ilvl w:val="1"/>
                <w:numId w:val="3"/>
              </w:numPr>
              <w:overflowPunct/>
              <w:autoSpaceDE/>
              <w:autoSpaceDN/>
              <w:adjustRightInd/>
              <w:spacing w:after="0"/>
              <w:ind w:firstLineChars="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NOTE 5: Avoid the overlaps with RAN2 work for evaluation</w:t>
            </w:r>
          </w:p>
          <w:p w14:paraId="60C3DB0A">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6421779D">
      <w:pPr>
        <w:keepNext w:val="0"/>
        <w:keepLines w:val="0"/>
        <w:pageBreakBefore w:val="0"/>
        <w:widowControl w:val="0"/>
        <w:kinsoku/>
        <w:wordWrap/>
        <w:overflowPunct/>
        <w:topLinePunct w:val="0"/>
        <w:autoSpaceDE/>
        <w:autoSpaceDN/>
        <w:bidi w:val="0"/>
        <w:adjustRightInd/>
        <w:snapToGrid/>
        <w:spacing w:before="180" w:after="180" w:line="240" w:lineRule="auto"/>
        <w:textAlignment w:val="auto"/>
        <w:rPr>
          <w:rFonts w:hint="eastAsia" w:ascii="Times New Roman" w:hAnsi="Times New Roman" w:eastAsia="宋体"/>
          <w:sz w:val="20"/>
          <w:szCs w:val="20"/>
          <w:lang w:val="en-US" w:eastAsia="zh-CN"/>
        </w:rPr>
      </w:pPr>
      <w:r>
        <w:rPr>
          <w:rFonts w:hint="eastAsia" w:ascii="Times New Roman" w:hAnsi="Times New Roman"/>
          <w:sz w:val="20"/>
          <w:szCs w:val="20"/>
          <w:lang w:val="en-US" w:eastAsia="zh-CN"/>
        </w:rPr>
        <w:t>In last meeting, there was disc</w:t>
      </w:r>
      <w:r>
        <w:rPr>
          <w:rFonts w:hint="eastAsia" w:ascii="Times New Roman" w:hAnsi="Times New Roman" w:eastAsia="宋体"/>
          <w:sz w:val="20"/>
          <w:szCs w:val="20"/>
          <w:lang w:val="en-US" w:eastAsia="zh-CN"/>
        </w:rPr>
        <w:t>ussion on AI/ML for mobility, and a WF was agreed [2]. This contribution provides discussion on the general part.</w:t>
      </w:r>
    </w:p>
    <w:p w14:paraId="17263EFA">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7" w:name="OLE_LINK1"/>
      <w:bookmarkStart w:id="8" w:name="OLE_LINK2"/>
      <w:r>
        <w:rPr>
          <w:rFonts w:ascii="Times New Roman" w:hAnsi="Times New Roman"/>
          <w:i/>
          <w:sz w:val="20"/>
          <w:szCs w:val="20"/>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D819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49FB458B">
            <w:pPr>
              <w:bidi w:val="0"/>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rPr>
              <w:t>Issue 1-1-</w:t>
            </w:r>
            <w:r>
              <w:rPr>
                <w:rFonts w:hint="default" w:ascii="Times New Roman" w:hAnsi="Times New Roman" w:cs="Times New Roman"/>
                <w:b/>
                <w:bCs/>
                <w:sz w:val="20"/>
                <w:szCs w:val="20"/>
                <w:lang w:val="en-US" w:eastAsia="zh-CN"/>
              </w:rPr>
              <w:t>2</w:t>
            </w:r>
            <w:r>
              <w:rPr>
                <w:rFonts w:hint="default" w:ascii="Times New Roman" w:hAnsi="Times New Roman" w:cs="Times New Roman"/>
                <w:b/>
                <w:bCs/>
                <w:sz w:val="20"/>
                <w:szCs w:val="20"/>
              </w:rPr>
              <w:t xml:space="preserve">: </w:t>
            </w:r>
            <w:bookmarkStart w:id="9" w:name="_Hlk179469976"/>
            <w:r>
              <w:rPr>
                <w:rFonts w:hint="default" w:ascii="Times New Roman" w:hAnsi="Times New Roman" w:cs="Times New Roman"/>
                <w:b/>
                <w:bCs/>
                <w:sz w:val="20"/>
                <w:szCs w:val="20"/>
              </w:rPr>
              <w:t>Scenario priorities</w:t>
            </w:r>
            <w:bookmarkEnd w:id="9"/>
          </w:p>
          <w:p w14:paraId="5EE92FFA">
            <w:pPr>
              <w:pStyle w:val="6"/>
              <w:keepNext/>
              <w:numPr>
                <w:ilvl w:val="0"/>
                <w:numId w:val="4"/>
              </w:numPr>
              <w:rPr>
                <w:rFonts w:hint="default" w:ascii="Times New Roman" w:hAnsi="Times New Roman" w:cs="Times New Roman"/>
                <w:sz w:val="20"/>
                <w:szCs w:val="20"/>
              </w:rPr>
            </w:pPr>
            <w:r>
              <w:rPr>
                <w:rFonts w:hint="default" w:ascii="Times New Roman" w:hAnsi="Times New Roman" w:cs="Times New Roman"/>
                <w:b w:val="0"/>
                <w:bCs/>
                <w:sz w:val="20"/>
                <w:szCs w:val="20"/>
              </w:rPr>
              <w:t>Prioritization of evaluation scenarios in RAN2 (Table 5.2.1-1 in TR 38.744 draft) for measurement prediction use-case.</w:t>
            </w:r>
          </w:p>
          <w:p w14:paraId="32E266F5">
            <w:pPr>
              <w:rPr>
                <w:rFonts w:hint="default" w:ascii="Times New Roman" w:hAnsi="Times New Roman" w:cs="Times New Roman"/>
                <w:sz w:val="20"/>
                <w:szCs w:val="20"/>
              </w:rPr>
            </w:pPr>
          </w:p>
          <w:tbl>
            <w:tblPr>
              <w:tblStyle w:val="11"/>
              <w:tblW w:w="8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6"/>
              <w:gridCol w:w="1278"/>
              <w:gridCol w:w="3769"/>
              <w:gridCol w:w="1262"/>
              <w:gridCol w:w="1339"/>
            </w:tblGrid>
            <w:tr w14:paraId="2F461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32949661">
                  <w:pPr>
                    <w:overflowPunct w:val="0"/>
                    <w:autoSpaceDE w:val="0"/>
                    <w:autoSpaceDN w:val="0"/>
                    <w:adjustRightInd w:val="0"/>
                    <w:spacing w:after="160" w:line="259" w:lineRule="auto"/>
                    <w:textAlignment w:val="baseline"/>
                    <w:rPr>
                      <w:rFonts w:hint="default" w:ascii="Times New Roman" w:hAnsi="Times New Roman" w:cs="Times New Roman"/>
                      <w:b/>
                      <w:bCs/>
                      <w:sz w:val="20"/>
                      <w:szCs w:val="20"/>
                    </w:rPr>
                  </w:pPr>
                  <w:r>
                    <w:rPr>
                      <w:rFonts w:hint="default" w:ascii="Times New Roman" w:hAnsi="Times New Roman" w:cs="Times New Roman"/>
                      <w:b/>
                      <w:bCs/>
                      <w:sz w:val="20"/>
                      <w:szCs w:val="20"/>
                    </w:rPr>
                    <w:t>Scenario number</w:t>
                  </w:r>
                </w:p>
              </w:tc>
              <w:tc>
                <w:tcPr>
                  <w:tcW w:w="1278" w:type="dxa"/>
                  <w:tcBorders>
                    <w:top w:val="single" w:color="auto" w:sz="4" w:space="0"/>
                    <w:left w:val="single" w:color="auto" w:sz="4" w:space="0"/>
                    <w:bottom w:val="single" w:color="auto" w:sz="4" w:space="0"/>
                    <w:right w:val="single" w:color="auto" w:sz="4" w:space="0"/>
                  </w:tcBorders>
                </w:tcPr>
                <w:p w14:paraId="0959C4C2">
                  <w:pPr>
                    <w:overflowPunct w:val="0"/>
                    <w:autoSpaceDE w:val="0"/>
                    <w:autoSpaceDN w:val="0"/>
                    <w:adjustRightInd w:val="0"/>
                    <w:spacing w:after="160" w:line="259" w:lineRule="auto"/>
                    <w:textAlignment w:val="baseline"/>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Priority </w:t>
                  </w:r>
                </w:p>
              </w:tc>
              <w:tc>
                <w:tcPr>
                  <w:tcW w:w="3769" w:type="dxa"/>
                  <w:tcBorders>
                    <w:top w:val="single" w:color="auto" w:sz="4" w:space="0"/>
                    <w:left w:val="single" w:color="auto" w:sz="4" w:space="0"/>
                    <w:bottom w:val="single" w:color="auto" w:sz="4" w:space="0"/>
                    <w:right w:val="single" w:color="auto" w:sz="4" w:space="0"/>
                  </w:tcBorders>
                </w:tcPr>
                <w:p w14:paraId="53DDFED2">
                  <w:pPr>
                    <w:overflowPunct w:val="0"/>
                    <w:autoSpaceDE w:val="0"/>
                    <w:autoSpaceDN w:val="0"/>
                    <w:adjustRightInd w:val="0"/>
                    <w:spacing w:after="160" w:line="259" w:lineRule="auto"/>
                    <w:textAlignment w:val="baseline"/>
                    <w:rPr>
                      <w:rFonts w:hint="default" w:ascii="Times New Roman" w:hAnsi="Times New Roman" w:cs="Times New Roman"/>
                      <w:b/>
                      <w:bCs/>
                      <w:sz w:val="20"/>
                      <w:szCs w:val="20"/>
                    </w:rPr>
                  </w:pPr>
                  <w:r>
                    <w:rPr>
                      <w:rFonts w:hint="default" w:ascii="Times New Roman" w:hAnsi="Times New Roman" w:cs="Times New Roman"/>
                      <w:b/>
                      <w:bCs/>
                      <w:sz w:val="20"/>
                      <w:szCs w:val="20"/>
                    </w:rPr>
                    <w:t>Evaluation scenario</w:t>
                  </w:r>
                </w:p>
              </w:tc>
              <w:tc>
                <w:tcPr>
                  <w:tcW w:w="1262" w:type="dxa"/>
                  <w:tcBorders>
                    <w:top w:val="single" w:color="auto" w:sz="4" w:space="0"/>
                    <w:left w:val="single" w:color="auto" w:sz="4" w:space="0"/>
                    <w:bottom w:val="single" w:color="auto" w:sz="4" w:space="0"/>
                    <w:right w:val="single" w:color="auto" w:sz="4" w:space="0"/>
                  </w:tcBorders>
                </w:tcPr>
                <w:p w14:paraId="0685AEE9">
                  <w:pPr>
                    <w:overflowPunct w:val="0"/>
                    <w:autoSpaceDE w:val="0"/>
                    <w:autoSpaceDN w:val="0"/>
                    <w:adjustRightInd w:val="0"/>
                    <w:spacing w:after="160" w:line="259" w:lineRule="auto"/>
                    <w:textAlignment w:val="baseline"/>
                    <w:rPr>
                      <w:rFonts w:hint="default" w:ascii="Times New Roman" w:hAnsi="Times New Roman" w:cs="Times New Roman"/>
                      <w:b/>
                      <w:bCs/>
                      <w:sz w:val="20"/>
                      <w:szCs w:val="20"/>
                    </w:rPr>
                  </w:pPr>
                  <w:r>
                    <w:rPr>
                      <w:rFonts w:hint="default" w:ascii="Times New Roman" w:hAnsi="Times New Roman" w:cs="Times New Roman"/>
                      <w:b/>
                      <w:bCs/>
                      <w:sz w:val="20"/>
                      <w:szCs w:val="20"/>
                    </w:rPr>
                    <w:t>Target study goal</w:t>
                  </w:r>
                </w:p>
              </w:tc>
              <w:tc>
                <w:tcPr>
                  <w:tcW w:w="1339" w:type="dxa"/>
                  <w:tcBorders>
                    <w:top w:val="single" w:color="auto" w:sz="4" w:space="0"/>
                    <w:left w:val="single" w:color="auto" w:sz="4" w:space="0"/>
                    <w:bottom w:val="single" w:color="auto" w:sz="4" w:space="0"/>
                    <w:right w:val="single" w:color="auto" w:sz="4" w:space="0"/>
                  </w:tcBorders>
                </w:tcPr>
                <w:p w14:paraId="5193D458">
                  <w:pPr>
                    <w:overflowPunct w:val="0"/>
                    <w:autoSpaceDE w:val="0"/>
                    <w:autoSpaceDN w:val="0"/>
                    <w:adjustRightInd w:val="0"/>
                    <w:spacing w:after="160" w:line="259" w:lineRule="auto"/>
                    <w:textAlignment w:val="baseline"/>
                    <w:rPr>
                      <w:rFonts w:hint="default" w:ascii="Times New Roman" w:hAnsi="Times New Roman" w:cs="Times New Roman"/>
                      <w:b/>
                      <w:bCs/>
                      <w:sz w:val="20"/>
                      <w:szCs w:val="20"/>
                    </w:rPr>
                  </w:pPr>
                  <w:r>
                    <w:rPr>
                      <w:rFonts w:hint="default" w:ascii="Times New Roman" w:hAnsi="Times New Roman" w:cs="Times New Roman"/>
                      <w:b/>
                      <w:bCs/>
                      <w:sz w:val="20"/>
                      <w:szCs w:val="20"/>
                    </w:rPr>
                    <w:t>Methodology</w:t>
                  </w:r>
                </w:p>
              </w:tc>
            </w:tr>
            <w:tr w14:paraId="11352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2F7539E3">
                  <w:pPr>
                    <w:overflowPunct w:val="0"/>
                    <w:autoSpaceDE w:val="0"/>
                    <w:autoSpaceDN w:val="0"/>
                    <w:adjustRightInd w:val="0"/>
                    <w:spacing w:after="160" w:line="259" w:lineRule="auto"/>
                    <w:textAlignment w:val="baseline"/>
                    <w:rPr>
                      <w:rFonts w:hint="default" w:ascii="Times New Roman" w:hAnsi="Times New Roman" w:cs="Times New Roman"/>
                      <w:sz w:val="20"/>
                      <w:szCs w:val="20"/>
                    </w:rPr>
                  </w:pPr>
                  <w:r>
                    <w:rPr>
                      <w:rFonts w:hint="default" w:ascii="Times New Roman" w:hAnsi="Times New Roman" w:cs="Times New Roman"/>
                      <w:sz w:val="20"/>
                      <w:szCs w:val="20"/>
                    </w:rPr>
                    <w:t>1</w:t>
                  </w:r>
                </w:p>
              </w:tc>
              <w:tc>
                <w:tcPr>
                  <w:tcW w:w="1278" w:type="dxa"/>
                  <w:tcBorders>
                    <w:top w:val="single" w:color="auto" w:sz="4" w:space="0"/>
                    <w:left w:val="single" w:color="auto" w:sz="4" w:space="0"/>
                    <w:bottom w:val="single" w:color="auto" w:sz="4" w:space="0"/>
                    <w:right w:val="single" w:color="auto" w:sz="4" w:space="0"/>
                  </w:tcBorders>
                </w:tcPr>
                <w:p w14:paraId="3F3A88D0">
                  <w:pPr>
                    <w:overflowPunct w:val="0"/>
                    <w:autoSpaceDE w:val="0"/>
                    <w:autoSpaceDN w:val="0"/>
                    <w:adjustRightInd w:val="0"/>
                    <w:spacing w:after="160" w:line="259" w:lineRule="auto"/>
                    <w:textAlignment w:val="baseline"/>
                    <w:rPr>
                      <w:rFonts w:hint="default" w:ascii="Times New Roman" w:hAnsi="Times New Roman" w:cs="Times New Roman"/>
                      <w:sz w:val="20"/>
                      <w:szCs w:val="20"/>
                    </w:rPr>
                  </w:pPr>
                  <w:r>
                    <w:rPr>
                      <w:rFonts w:hint="default" w:ascii="Times New Roman" w:hAnsi="Times New Roman" w:cs="Times New Roman"/>
                      <w:sz w:val="20"/>
                      <w:szCs w:val="20"/>
                    </w:rPr>
                    <w:t>Low</w:t>
                  </w:r>
                </w:p>
              </w:tc>
              <w:tc>
                <w:tcPr>
                  <w:tcW w:w="3769" w:type="dxa"/>
                  <w:tcBorders>
                    <w:top w:val="single" w:color="auto" w:sz="4" w:space="0"/>
                    <w:left w:val="single" w:color="auto" w:sz="4" w:space="0"/>
                    <w:bottom w:val="single" w:color="auto" w:sz="4" w:space="0"/>
                    <w:right w:val="single" w:color="auto" w:sz="4" w:space="0"/>
                  </w:tcBorders>
                </w:tcPr>
                <w:p w14:paraId="439F7B1D">
                  <w:pPr>
                    <w:overflowPunct w:val="0"/>
                    <w:autoSpaceDE w:val="0"/>
                    <w:autoSpaceDN w:val="0"/>
                    <w:adjustRightInd w:val="0"/>
                    <w:spacing w:after="160" w:line="259" w:lineRule="auto"/>
                    <w:textAlignment w:val="baseline"/>
                    <w:rPr>
                      <w:rFonts w:hint="default" w:ascii="Times New Roman" w:hAnsi="Times New Roman" w:cs="Times New Roman"/>
                      <w:sz w:val="20"/>
                      <w:szCs w:val="20"/>
                    </w:rPr>
                  </w:pPr>
                  <w:r>
                    <w:rPr>
                      <w:rFonts w:hint="default" w:ascii="Times New Roman" w:hAnsi="Times New Roman" w:cs="Times New Roman"/>
                      <w:sz w:val="20"/>
                      <w:szCs w:val="20"/>
                    </w:rPr>
                    <w:t>FR1 to FR1 intra-frequency temporal domain case A</w:t>
                  </w:r>
                </w:p>
              </w:tc>
              <w:tc>
                <w:tcPr>
                  <w:tcW w:w="1262" w:type="dxa"/>
                  <w:tcBorders>
                    <w:top w:val="single" w:color="auto" w:sz="4" w:space="0"/>
                    <w:left w:val="single" w:color="auto" w:sz="4" w:space="0"/>
                    <w:bottom w:val="single" w:color="auto" w:sz="4" w:space="0"/>
                    <w:right w:val="single" w:color="auto" w:sz="4" w:space="0"/>
                  </w:tcBorders>
                </w:tcPr>
                <w:p w14:paraId="5842E26C">
                  <w:pPr>
                    <w:overflowPunct w:val="0"/>
                    <w:autoSpaceDE w:val="0"/>
                    <w:autoSpaceDN w:val="0"/>
                    <w:adjustRightInd w:val="0"/>
                    <w:spacing w:after="160" w:line="259" w:lineRule="auto"/>
                    <w:textAlignment w:val="baseline"/>
                    <w:rPr>
                      <w:rFonts w:hint="default" w:ascii="Times New Roman" w:hAnsi="Times New Roman" w:cs="Times New Roman"/>
                      <w:sz w:val="20"/>
                      <w:szCs w:val="20"/>
                    </w:rPr>
                  </w:pPr>
                  <w:r>
                    <w:rPr>
                      <w:rFonts w:hint="default" w:ascii="Times New Roman" w:hAnsi="Times New Roman" w:cs="Times New Roman"/>
                      <w:sz w:val="20"/>
                      <w:szCs w:val="20"/>
                    </w:rPr>
                    <w:t>2</w:t>
                  </w:r>
                  <w:r>
                    <w:rPr>
                      <w:rFonts w:hint="default" w:ascii="Times New Roman" w:hAnsi="Times New Roman" w:cs="Times New Roman"/>
                      <w:sz w:val="20"/>
                      <w:szCs w:val="20"/>
                      <w:vertAlign w:val="superscript"/>
                    </w:rPr>
                    <w:t>nd</w:t>
                  </w:r>
                  <w:r>
                    <w:rPr>
                      <w:rFonts w:hint="default" w:ascii="Times New Roman" w:hAnsi="Times New Roman"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18F52FBD">
                  <w:pPr>
                    <w:overflowPunct w:val="0"/>
                    <w:autoSpaceDE w:val="0"/>
                    <w:autoSpaceDN w:val="0"/>
                    <w:adjustRightInd w:val="0"/>
                    <w:spacing w:after="160" w:line="259" w:lineRule="auto"/>
                    <w:textAlignment w:val="baseline"/>
                    <w:rPr>
                      <w:rFonts w:hint="default" w:ascii="Times New Roman" w:hAnsi="Times New Roman" w:cs="Times New Roman"/>
                      <w:sz w:val="20"/>
                      <w:szCs w:val="20"/>
                    </w:rPr>
                  </w:pPr>
                  <w:r>
                    <w:rPr>
                      <w:rFonts w:hint="default" w:ascii="Times New Roman" w:hAnsi="Times New Roman" w:cs="Times New Roman"/>
                      <w:sz w:val="20"/>
                      <w:szCs w:val="20"/>
                    </w:rPr>
                    <w:t>TBD</w:t>
                  </w:r>
                </w:p>
              </w:tc>
            </w:tr>
            <w:tr w14:paraId="2DB81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3FDB0550">
                  <w:pPr>
                    <w:overflowPunct w:val="0"/>
                    <w:autoSpaceDE w:val="0"/>
                    <w:autoSpaceDN w:val="0"/>
                    <w:adjustRightInd w:val="0"/>
                    <w:spacing w:after="160" w:line="259" w:lineRule="auto"/>
                    <w:textAlignment w:val="baseline"/>
                    <w:rPr>
                      <w:rFonts w:hint="default" w:ascii="Times New Roman" w:hAnsi="Times New Roman" w:cs="Times New Roman"/>
                      <w:sz w:val="20"/>
                      <w:szCs w:val="20"/>
                    </w:rPr>
                  </w:pPr>
                  <w:r>
                    <w:rPr>
                      <w:rFonts w:hint="default" w:ascii="Times New Roman" w:hAnsi="Times New Roman" w:cs="Times New Roman"/>
                      <w:sz w:val="20"/>
                      <w:szCs w:val="20"/>
                    </w:rPr>
                    <w:t>2</w:t>
                  </w:r>
                </w:p>
              </w:tc>
              <w:tc>
                <w:tcPr>
                  <w:tcW w:w="1278" w:type="dxa"/>
                  <w:tcBorders>
                    <w:top w:val="single" w:color="auto" w:sz="4" w:space="0"/>
                    <w:left w:val="single" w:color="auto" w:sz="4" w:space="0"/>
                    <w:bottom w:val="single" w:color="auto" w:sz="4" w:space="0"/>
                    <w:right w:val="single" w:color="auto" w:sz="4" w:space="0"/>
                  </w:tcBorders>
                </w:tcPr>
                <w:p w14:paraId="5067B53D">
                  <w:pPr>
                    <w:overflowPunct w:val="0"/>
                    <w:autoSpaceDE w:val="0"/>
                    <w:autoSpaceDN w:val="0"/>
                    <w:adjustRightInd w:val="0"/>
                    <w:spacing w:after="160" w:line="259" w:lineRule="auto"/>
                    <w:textAlignment w:val="baseline"/>
                    <w:rPr>
                      <w:rFonts w:hint="default" w:ascii="Times New Roman" w:hAnsi="Times New Roman" w:cs="Times New Roman"/>
                      <w:sz w:val="20"/>
                      <w:szCs w:val="20"/>
                    </w:rPr>
                  </w:pPr>
                  <w:r>
                    <w:rPr>
                      <w:rFonts w:hint="default" w:ascii="Times New Roman" w:hAnsi="Times New Roman" w:cs="Times New Roman"/>
                      <w:sz w:val="20"/>
                      <w:szCs w:val="20"/>
                    </w:rPr>
                    <w:t>High</w:t>
                  </w:r>
                </w:p>
              </w:tc>
              <w:tc>
                <w:tcPr>
                  <w:tcW w:w="3769" w:type="dxa"/>
                  <w:tcBorders>
                    <w:top w:val="single" w:color="auto" w:sz="4" w:space="0"/>
                    <w:left w:val="single" w:color="auto" w:sz="4" w:space="0"/>
                    <w:bottom w:val="single" w:color="auto" w:sz="4" w:space="0"/>
                    <w:right w:val="single" w:color="auto" w:sz="4" w:space="0"/>
                  </w:tcBorders>
                </w:tcPr>
                <w:p w14:paraId="35A0C392">
                  <w:pPr>
                    <w:overflowPunct w:val="0"/>
                    <w:autoSpaceDE w:val="0"/>
                    <w:autoSpaceDN w:val="0"/>
                    <w:adjustRightInd w:val="0"/>
                    <w:spacing w:after="160" w:line="259" w:lineRule="auto"/>
                    <w:textAlignment w:val="baseline"/>
                    <w:rPr>
                      <w:rFonts w:hint="default" w:ascii="Times New Roman" w:hAnsi="Times New Roman" w:cs="Times New Roman"/>
                      <w:sz w:val="20"/>
                      <w:szCs w:val="20"/>
                    </w:rPr>
                  </w:pPr>
                  <w:r>
                    <w:rPr>
                      <w:rFonts w:hint="default" w:ascii="Times New Roman" w:hAnsi="Times New Roman" w:cs="Times New Roman"/>
                      <w:sz w:val="20"/>
                      <w:szCs w:val="20"/>
                    </w:rPr>
                    <w:t>FR1 to FR1 intra-frequency temporal domain case B</w:t>
                  </w:r>
                </w:p>
              </w:tc>
              <w:tc>
                <w:tcPr>
                  <w:tcW w:w="1262" w:type="dxa"/>
                  <w:tcBorders>
                    <w:top w:val="single" w:color="auto" w:sz="4" w:space="0"/>
                    <w:left w:val="single" w:color="auto" w:sz="4" w:space="0"/>
                    <w:bottom w:val="single" w:color="auto" w:sz="4" w:space="0"/>
                    <w:right w:val="single" w:color="auto" w:sz="4" w:space="0"/>
                  </w:tcBorders>
                </w:tcPr>
                <w:p w14:paraId="737B8CC8">
                  <w:pPr>
                    <w:overflowPunct w:val="0"/>
                    <w:autoSpaceDE w:val="0"/>
                    <w:autoSpaceDN w:val="0"/>
                    <w:adjustRightInd w:val="0"/>
                    <w:spacing w:after="160" w:line="259" w:lineRule="auto"/>
                    <w:textAlignment w:val="baseline"/>
                    <w:rPr>
                      <w:rFonts w:hint="default" w:ascii="Times New Roman" w:hAnsi="Times New Roman" w:cs="Times New Roman"/>
                      <w:sz w:val="20"/>
                      <w:szCs w:val="20"/>
                    </w:rPr>
                  </w:pPr>
                  <w:r>
                    <w:rPr>
                      <w:rFonts w:hint="default" w:ascii="Times New Roman" w:hAnsi="Times New Roman" w:cs="Times New Roman"/>
                      <w:sz w:val="20"/>
                      <w:szCs w:val="20"/>
                    </w:rPr>
                    <w:t>1</w:t>
                  </w:r>
                  <w:r>
                    <w:rPr>
                      <w:rFonts w:hint="default" w:ascii="Times New Roman" w:hAnsi="Times New Roman" w:cs="Times New Roman"/>
                      <w:sz w:val="20"/>
                      <w:szCs w:val="20"/>
                      <w:vertAlign w:val="superscript"/>
                    </w:rPr>
                    <w:t>st</w:t>
                  </w:r>
                  <w:r>
                    <w:rPr>
                      <w:rFonts w:hint="default" w:ascii="Times New Roman" w:hAnsi="Times New Roman"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65D4BF34">
                  <w:pPr>
                    <w:overflowPunct w:val="0"/>
                    <w:autoSpaceDE w:val="0"/>
                    <w:autoSpaceDN w:val="0"/>
                    <w:adjustRightInd w:val="0"/>
                    <w:spacing w:after="160" w:line="259" w:lineRule="auto"/>
                    <w:textAlignment w:val="baseline"/>
                    <w:rPr>
                      <w:rFonts w:hint="default" w:ascii="Times New Roman" w:hAnsi="Times New Roman" w:cs="Times New Roman"/>
                      <w:sz w:val="20"/>
                      <w:szCs w:val="20"/>
                      <w:vertAlign w:val="superscript"/>
                    </w:rPr>
                  </w:pPr>
                  <w:r>
                    <w:rPr>
                      <w:rFonts w:hint="default" w:ascii="Times New Roman" w:hAnsi="Times New Roman" w:cs="Times New Roman"/>
                      <w:sz w:val="20"/>
                      <w:szCs w:val="20"/>
                    </w:rPr>
                    <w:t>Intra-cell</w:t>
                  </w:r>
                </w:p>
              </w:tc>
            </w:tr>
            <w:tr w14:paraId="458CD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09C24EF4">
                  <w:pPr>
                    <w:overflowPunct w:val="0"/>
                    <w:autoSpaceDE w:val="0"/>
                    <w:autoSpaceDN w:val="0"/>
                    <w:adjustRightInd w:val="0"/>
                    <w:spacing w:after="160" w:line="259" w:lineRule="auto"/>
                    <w:textAlignment w:val="baseline"/>
                    <w:rPr>
                      <w:rFonts w:hint="default" w:ascii="Times New Roman" w:hAnsi="Times New Roman" w:cs="Times New Roman"/>
                      <w:sz w:val="20"/>
                      <w:szCs w:val="20"/>
                    </w:rPr>
                  </w:pPr>
                  <w:r>
                    <w:rPr>
                      <w:rFonts w:hint="default" w:ascii="Times New Roman" w:hAnsi="Times New Roman" w:cs="Times New Roman"/>
                      <w:sz w:val="20"/>
                      <w:szCs w:val="20"/>
                    </w:rPr>
                    <w:t>3</w:t>
                  </w:r>
                </w:p>
              </w:tc>
              <w:tc>
                <w:tcPr>
                  <w:tcW w:w="1278" w:type="dxa"/>
                  <w:tcBorders>
                    <w:top w:val="single" w:color="auto" w:sz="4" w:space="0"/>
                    <w:left w:val="single" w:color="auto" w:sz="4" w:space="0"/>
                    <w:bottom w:val="single" w:color="auto" w:sz="4" w:space="0"/>
                    <w:right w:val="single" w:color="auto" w:sz="4" w:space="0"/>
                  </w:tcBorders>
                </w:tcPr>
                <w:p w14:paraId="7E5B8D13">
                  <w:pPr>
                    <w:overflowPunct w:val="0"/>
                    <w:autoSpaceDE w:val="0"/>
                    <w:autoSpaceDN w:val="0"/>
                    <w:adjustRightInd w:val="0"/>
                    <w:spacing w:after="160" w:line="259" w:lineRule="auto"/>
                    <w:textAlignment w:val="baseline"/>
                    <w:rPr>
                      <w:rFonts w:hint="default" w:ascii="Times New Roman" w:hAnsi="Times New Roman" w:cs="Times New Roman"/>
                      <w:sz w:val="20"/>
                      <w:szCs w:val="20"/>
                    </w:rPr>
                  </w:pPr>
                  <w:r>
                    <w:rPr>
                      <w:rFonts w:hint="default" w:ascii="Times New Roman" w:hAnsi="Times New Roman" w:cs="Times New Roman"/>
                      <w:sz w:val="20"/>
                      <w:szCs w:val="20"/>
                    </w:rPr>
                    <w:t>High</w:t>
                  </w:r>
                </w:p>
              </w:tc>
              <w:tc>
                <w:tcPr>
                  <w:tcW w:w="3769" w:type="dxa"/>
                  <w:tcBorders>
                    <w:top w:val="single" w:color="auto" w:sz="4" w:space="0"/>
                    <w:left w:val="single" w:color="auto" w:sz="4" w:space="0"/>
                    <w:bottom w:val="single" w:color="auto" w:sz="4" w:space="0"/>
                    <w:right w:val="single" w:color="auto" w:sz="4" w:space="0"/>
                  </w:tcBorders>
                </w:tcPr>
                <w:p w14:paraId="19401913">
                  <w:pPr>
                    <w:overflowPunct w:val="0"/>
                    <w:autoSpaceDE w:val="0"/>
                    <w:autoSpaceDN w:val="0"/>
                    <w:adjustRightInd w:val="0"/>
                    <w:spacing w:after="160" w:line="259" w:lineRule="auto"/>
                    <w:textAlignment w:val="baseline"/>
                    <w:rPr>
                      <w:rFonts w:hint="default" w:ascii="Times New Roman" w:hAnsi="Times New Roman" w:cs="Times New Roman"/>
                      <w:sz w:val="20"/>
                      <w:szCs w:val="20"/>
                    </w:rPr>
                  </w:pPr>
                  <w:r>
                    <w:rPr>
                      <w:rFonts w:hint="default" w:ascii="Times New Roman" w:hAnsi="Times New Roman" w:cs="Times New Roman"/>
                      <w:sz w:val="20"/>
                      <w:szCs w:val="20"/>
                    </w:rPr>
                    <w:t>FR1 to FR1 inter-frequency (frequency domain)</w:t>
                  </w:r>
                </w:p>
              </w:tc>
              <w:tc>
                <w:tcPr>
                  <w:tcW w:w="1262" w:type="dxa"/>
                  <w:tcBorders>
                    <w:top w:val="single" w:color="auto" w:sz="4" w:space="0"/>
                    <w:left w:val="single" w:color="auto" w:sz="4" w:space="0"/>
                    <w:bottom w:val="single" w:color="auto" w:sz="4" w:space="0"/>
                    <w:right w:val="single" w:color="auto" w:sz="4" w:space="0"/>
                  </w:tcBorders>
                </w:tcPr>
                <w:p w14:paraId="4B0EBB74">
                  <w:pPr>
                    <w:overflowPunct w:val="0"/>
                    <w:autoSpaceDE w:val="0"/>
                    <w:autoSpaceDN w:val="0"/>
                    <w:adjustRightInd w:val="0"/>
                    <w:spacing w:after="160" w:line="259" w:lineRule="auto"/>
                    <w:textAlignment w:val="baseline"/>
                    <w:rPr>
                      <w:rFonts w:hint="default" w:ascii="Times New Roman" w:hAnsi="Times New Roman" w:cs="Times New Roman"/>
                      <w:sz w:val="20"/>
                      <w:szCs w:val="20"/>
                    </w:rPr>
                  </w:pPr>
                  <w:r>
                    <w:rPr>
                      <w:rFonts w:hint="default" w:ascii="Times New Roman" w:hAnsi="Times New Roman" w:cs="Times New Roman"/>
                      <w:sz w:val="20"/>
                      <w:szCs w:val="20"/>
                    </w:rPr>
                    <w:t>1</w:t>
                  </w:r>
                  <w:r>
                    <w:rPr>
                      <w:rFonts w:hint="default" w:ascii="Times New Roman" w:hAnsi="Times New Roman" w:cs="Times New Roman"/>
                      <w:sz w:val="20"/>
                      <w:szCs w:val="20"/>
                      <w:vertAlign w:val="superscript"/>
                    </w:rPr>
                    <w:t>st</w:t>
                  </w:r>
                  <w:r>
                    <w:rPr>
                      <w:rFonts w:hint="default" w:ascii="Times New Roman" w:hAnsi="Times New Roman"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0F3A2AE8">
                  <w:pPr>
                    <w:overflowPunct w:val="0"/>
                    <w:autoSpaceDE w:val="0"/>
                    <w:autoSpaceDN w:val="0"/>
                    <w:adjustRightInd w:val="0"/>
                    <w:spacing w:after="160" w:line="259" w:lineRule="auto"/>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Inter-cell </w:t>
                  </w:r>
                </w:p>
              </w:tc>
            </w:tr>
            <w:tr w14:paraId="72697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463A310F">
                  <w:pPr>
                    <w:overflowPunct w:val="0"/>
                    <w:autoSpaceDE w:val="0"/>
                    <w:autoSpaceDN w:val="0"/>
                    <w:adjustRightInd w:val="0"/>
                    <w:spacing w:after="160" w:line="259" w:lineRule="auto"/>
                    <w:textAlignment w:val="baseline"/>
                    <w:rPr>
                      <w:rFonts w:hint="default" w:ascii="Times New Roman" w:hAnsi="Times New Roman" w:cs="Times New Roman"/>
                      <w:sz w:val="20"/>
                      <w:szCs w:val="20"/>
                    </w:rPr>
                  </w:pPr>
                  <w:r>
                    <w:rPr>
                      <w:rFonts w:hint="default" w:ascii="Times New Roman" w:hAnsi="Times New Roman" w:cs="Times New Roman"/>
                      <w:sz w:val="20"/>
                      <w:szCs w:val="20"/>
                    </w:rPr>
                    <w:t>4</w:t>
                  </w:r>
                </w:p>
              </w:tc>
              <w:tc>
                <w:tcPr>
                  <w:tcW w:w="1278" w:type="dxa"/>
                  <w:tcBorders>
                    <w:top w:val="single" w:color="auto" w:sz="4" w:space="0"/>
                    <w:left w:val="single" w:color="auto" w:sz="4" w:space="0"/>
                    <w:bottom w:val="single" w:color="auto" w:sz="4" w:space="0"/>
                    <w:right w:val="single" w:color="auto" w:sz="4" w:space="0"/>
                  </w:tcBorders>
                </w:tcPr>
                <w:p w14:paraId="4178DA4D">
                  <w:pPr>
                    <w:overflowPunct w:val="0"/>
                    <w:autoSpaceDE w:val="0"/>
                    <w:autoSpaceDN w:val="0"/>
                    <w:adjustRightInd w:val="0"/>
                    <w:spacing w:after="160" w:line="259" w:lineRule="auto"/>
                    <w:textAlignment w:val="baseline"/>
                    <w:rPr>
                      <w:rFonts w:hint="default" w:ascii="Times New Roman" w:hAnsi="Times New Roman" w:cs="Times New Roman"/>
                      <w:sz w:val="20"/>
                      <w:szCs w:val="20"/>
                    </w:rPr>
                  </w:pPr>
                  <w:r>
                    <w:rPr>
                      <w:rFonts w:hint="default" w:ascii="Times New Roman" w:hAnsi="Times New Roman" w:cs="Times New Roman"/>
                      <w:sz w:val="20"/>
                      <w:szCs w:val="20"/>
                    </w:rPr>
                    <w:t>High</w:t>
                  </w:r>
                </w:p>
              </w:tc>
              <w:tc>
                <w:tcPr>
                  <w:tcW w:w="3769" w:type="dxa"/>
                  <w:tcBorders>
                    <w:top w:val="single" w:color="auto" w:sz="4" w:space="0"/>
                    <w:left w:val="single" w:color="auto" w:sz="4" w:space="0"/>
                    <w:bottom w:val="single" w:color="auto" w:sz="4" w:space="0"/>
                    <w:right w:val="single" w:color="auto" w:sz="4" w:space="0"/>
                  </w:tcBorders>
                </w:tcPr>
                <w:p w14:paraId="545B8B3F">
                  <w:pPr>
                    <w:overflowPunct w:val="0"/>
                    <w:autoSpaceDE w:val="0"/>
                    <w:autoSpaceDN w:val="0"/>
                    <w:adjustRightInd w:val="0"/>
                    <w:spacing w:after="160" w:line="259" w:lineRule="auto"/>
                    <w:textAlignment w:val="baseline"/>
                    <w:rPr>
                      <w:rFonts w:hint="default" w:ascii="Times New Roman" w:hAnsi="Times New Roman" w:cs="Times New Roman"/>
                      <w:sz w:val="20"/>
                      <w:szCs w:val="20"/>
                    </w:rPr>
                  </w:pPr>
                  <w:r>
                    <w:rPr>
                      <w:rFonts w:hint="default" w:ascii="Times New Roman" w:hAnsi="Times New Roman" w:cs="Times New Roman"/>
                      <w:sz w:val="20"/>
                      <w:szCs w:val="20"/>
                    </w:rPr>
                    <w:t>FR2 to FR2 intra-frequency temporal domain case A</w:t>
                  </w:r>
                </w:p>
              </w:tc>
              <w:tc>
                <w:tcPr>
                  <w:tcW w:w="1262" w:type="dxa"/>
                  <w:tcBorders>
                    <w:top w:val="single" w:color="auto" w:sz="4" w:space="0"/>
                    <w:left w:val="single" w:color="auto" w:sz="4" w:space="0"/>
                    <w:bottom w:val="single" w:color="auto" w:sz="4" w:space="0"/>
                    <w:right w:val="single" w:color="auto" w:sz="4" w:space="0"/>
                  </w:tcBorders>
                </w:tcPr>
                <w:p w14:paraId="56F9D078">
                  <w:pPr>
                    <w:overflowPunct w:val="0"/>
                    <w:autoSpaceDE w:val="0"/>
                    <w:autoSpaceDN w:val="0"/>
                    <w:adjustRightInd w:val="0"/>
                    <w:spacing w:after="160" w:line="259" w:lineRule="auto"/>
                    <w:textAlignment w:val="baseline"/>
                    <w:rPr>
                      <w:rFonts w:hint="default" w:ascii="Times New Roman" w:hAnsi="Times New Roman" w:cs="Times New Roman"/>
                      <w:sz w:val="20"/>
                      <w:szCs w:val="20"/>
                    </w:rPr>
                  </w:pPr>
                  <w:r>
                    <w:rPr>
                      <w:rFonts w:hint="default" w:ascii="Times New Roman" w:hAnsi="Times New Roman" w:cs="Times New Roman"/>
                      <w:sz w:val="20"/>
                      <w:szCs w:val="20"/>
                    </w:rPr>
                    <w:t>2</w:t>
                  </w:r>
                  <w:r>
                    <w:rPr>
                      <w:rFonts w:hint="default" w:ascii="Times New Roman" w:hAnsi="Times New Roman" w:cs="Times New Roman"/>
                      <w:sz w:val="20"/>
                      <w:szCs w:val="20"/>
                      <w:vertAlign w:val="superscript"/>
                    </w:rPr>
                    <w:t>nd</w:t>
                  </w:r>
                  <w:r>
                    <w:rPr>
                      <w:rFonts w:hint="default" w:ascii="Times New Roman" w:hAnsi="Times New Roman"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48BF6A9A">
                  <w:pPr>
                    <w:overflowPunct w:val="0"/>
                    <w:autoSpaceDE w:val="0"/>
                    <w:autoSpaceDN w:val="0"/>
                    <w:adjustRightInd w:val="0"/>
                    <w:spacing w:after="160" w:line="259" w:lineRule="auto"/>
                    <w:textAlignment w:val="baseline"/>
                    <w:rPr>
                      <w:rFonts w:hint="default" w:ascii="Times New Roman" w:hAnsi="Times New Roman" w:cs="Times New Roman"/>
                      <w:sz w:val="20"/>
                      <w:szCs w:val="20"/>
                    </w:rPr>
                  </w:pPr>
                  <w:r>
                    <w:rPr>
                      <w:rFonts w:hint="default" w:ascii="Times New Roman" w:hAnsi="Times New Roman" w:cs="Times New Roman"/>
                      <w:sz w:val="20"/>
                      <w:szCs w:val="20"/>
                    </w:rPr>
                    <w:t>Intra-cell</w:t>
                  </w:r>
                </w:p>
              </w:tc>
            </w:tr>
            <w:tr w14:paraId="0578D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53C9AE7B">
                  <w:pPr>
                    <w:overflowPunct w:val="0"/>
                    <w:autoSpaceDE w:val="0"/>
                    <w:autoSpaceDN w:val="0"/>
                    <w:adjustRightInd w:val="0"/>
                    <w:spacing w:after="160" w:line="259" w:lineRule="auto"/>
                    <w:textAlignment w:val="baseline"/>
                    <w:rPr>
                      <w:rFonts w:hint="default" w:ascii="Times New Roman" w:hAnsi="Times New Roman" w:cs="Times New Roman"/>
                      <w:sz w:val="20"/>
                      <w:szCs w:val="20"/>
                    </w:rPr>
                  </w:pPr>
                  <w:r>
                    <w:rPr>
                      <w:rFonts w:hint="default" w:ascii="Times New Roman" w:hAnsi="Times New Roman" w:cs="Times New Roman"/>
                      <w:sz w:val="20"/>
                      <w:szCs w:val="20"/>
                    </w:rPr>
                    <w:t>5</w:t>
                  </w:r>
                </w:p>
              </w:tc>
              <w:tc>
                <w:tcPr>
                  <w:tcW w:w="1278" w:type="dxa"/>
                  <w:tcBorders>
                    <w:top w:val="single" w:color="auto" w:sz="4" w:space="0"/>
                    <w:left w:val="single" w:color="auto" w:sz="4" w:space="0"/>
                    <w:bottom w:val="single" w:color="auto" w:sz="4" w:space="0"/>
                    <w:right w:val="single" w:color="auto" w:sz="4" w:space="0"/>
                  </w:tcBorders>
                </w:tcPr>
                <w:p w14:paraId="7B378CE8">
                  <w:pPr>
                    <w:overflowPunct w:val="0"/>
                    <w:autoSpaceDE w:val="0"/>
                    <w:autoSpaceDN w:val="0"/>
                    <w:adjustRightInd w:val="0"/>
                    <w:spacing w:after="160" w:line="259" w:lineRule="auto"/>
                    <w:textAlignment w:val="baseline"/>
                    <w:rPr>
                      <w:rFonts w:hint="default" w:ascii="Times New Roman" w:hAnsi="Times New Roman" w:cs="Times New Roman"/>
                      <w:sz w:val="20"/>
                      <w:szCs w:val="20"/>
                    </w:rPr>
                  </w:pPr>
                  <w:r>
                    <w:rPr>
                      <w:rFonts w:hint="default" w:ascii="Times New Roman" w:hAnsi="Times New Roman" w:cs="Times New Roman"/>
                      <w:sz w:val="20"/>
                      <w:szCs w:val="20"/>
                    </w:rPr>
                    <w:t>Low</w:t>
                  </w:r>
                </w:p>
              </w:tc>
              <w:tc>
                <w:tcPr>
                  <w:tcW w:w="3769" w:type="dxa"/>
                  <w:tcBorders>
                    <w:top w:val="single" w:color="auto" w:sz="4" w:space="0"/>
                    <w:left w:val="single" w:color="auto" w:sz="4" w:space="0"/>
                    <w:bottom w:val="single" w:color="auto" w:sz="4" w:space="0"/>
                    <w:right w:val="single" w:color="auto" w:sz="4" w:space="0"/>
                  </w:tcBorders>
                </w:tcPr>
                <w:p w14:paraId="1D259386">
                  <w:pPr>
                    <w:overflowPunct w:val="0"/>
                    <w:autoSpaceDE w:val="0"/>
                    <w:autoSpaceDN w:val="0"/>
                    <w:adjustRightInd w:val="0"/>
                    <w:spacing w:after="160" w:line="259" w:lineRule="auto"/>
                    <w:textAlignment w:val="baseline"/>
                    <w:rPr>
                      <w:rFonts w:hint="default" w:ascii="Times New Roman" w:hAnsi="Times New Roman" w:cs="Times New Roman"/>
                      <w:sz w:val="20"/>
                      <w:szCs w:val="20"/>
                    </w:rPr>
                  </w:pPr>
                  <w:r>
                    <w:rPr>
                      <w:rFonts w:hint="default" w:ascii="Times New Roman" w:hAnsi="Times New Roman" w:cs="Times New Roman"/>
                      <w:sz w:val="20"/>
                      <w:szCs w:val="20"/>
                    </w:rPr>
                    <w:t>FR2 to FR2 intra-frequency temporal domain case B</w:t>
                  </w:r>
                </w:p>
              </w:tc>
              <w:tc>
                <w:tcPr>
                  <w:tcW w:w="1262" w:type="dxa"/>
                  <w:tcBorders>
                    <w:top w:val="single" w:color="auto" w:sz="4" w:space="0"/>
                    <w:left w:val="single" w:color="auto" w:sz="4" w:space="0"/>
                    <w:bottom w:val="single" w:color="auto" w:sz="4" w:space="0"/>
                    <w:right w:val="single" w:color="auto" w:sz="4" w:space="0"/>
                  </w:tcBorders>
                </w:tcPr>
                <w:p w14:paraId="45993D3E">
                  <w:pPr>
                    <w:overflowPunct w:val="0"/>
                    <w:autoSpaceDE w:val="0"/>
                    <w:autoSpaceDN w:val="0"/>
                    <w:adjustRightInd w:val="0"/>
                    <w:spacing w:after="160" w:line="259" w:lineRule="auto"/>
                    <w:textAlignment w:val="baseline"/>
                    <w:rPr>
                      <w:rFonts w:hint="default" w:ascii="Times New Roman" w:hAnsi="Times New Roman" w:cs="Times New Roman"/>
                      <w:sz w:val="20"/>
                      <w:szCs w:val="20"/>
                    </w:rPr>
                  </w:pPr>
                  <w:r>
                    <w:rPr>
                      <w:rFonts w:hint="default" w:ascii="Times New Roman" w:hAnsi="Times New Roman" w:cs="Times New Roman"/>
                      <w:sz w:val="20"/>
                      <w:szCs w:val="20"/>
                    </w:rPr>
                    <w:t>1</w:t>
                  </w:r>
                  <w:r>
                    <w:rPr>
                      <w:rFonts w:hint="default" w:ascii="Times New Roman" w:hAnsi="Times New Roman" w:cs="Times New Roman"/>
                      <w:sz w:val="20"/>
                      <w:szCs w:val="20"/>
                      <w:vertAlign w:val="superscript"/>
                    </w:rPr>
                    <w:t>st</w:t>
                  </w:r>
                  <w:r>
                    <w:rPr>
                      <w:rFonts w:hint="default" w:ascii="Times New Roman" w:hAnsi="Times New Roman"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22CF4AE4">
                  <w:pPr>
                    <w:overflowPunct w:val="0"/>
                    <w:autoSpaceDE w:val="0"/>
                    <w:autoSpaceDN w:val="0"/>
                    <w:adjustRightInd w:val="0"/>
                    <w:spacing w:after="160" w:line="259" w:lineRule="auto"/>
                    <w:textAlignment w:val="baseline"/>
                    <w:rPr>
                      <w:rFonts w:hint="default" w:ascii="Times New Roman" w:hAnsi="Times New Roman" w:cs="Times New Roman"/>
                      <w:sz w:val="20"/>
                      <w:szCs w:val="20"/>
                    </w:rPr>
                  </w:pPr>
                  <w:r>
                    <w:rPr>
                      <w:rFonts w:hint="default" w:ascii="Times New Roman" w:hAnsi="Times New Roman" w:cs="Times New Roman"/>
                      <w:sz w:val="20"/>
                      <w:szCs w:val="20"/>
                    </w:rPr>
                    <w:t>TBD</w:t>
                  </w:r>
                </w:p>
              </w:tc>
            </w:tr>
            <w:tr w14:paraId="144BE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09054D81">
                  <w:pPr>
                    <w:overflowPunct w:val="0"/>
                    <w:autoSpaceDE w:val="0"/>
                    <w:autoSpaceDN w:val="0"/>
                    <w:adjustRightInd w:val="0"/>
                    <w:spacing w:after="160" w:line="259" w:lineRule="auto"/>
                    <w:textAlignment w:val="baseline"/>
                    <w:rPr>
                      <w:rFonts w:hint="default" w:ascii="Times New Roman" w:hAnsi="Times New Roman" w:cs="Times New Roman"/>
                      <w:sz w:val="20"/>
                      <w:szCs w:val="20"/>
                    </w:rPr>
                  </w:pPr>
                  <w:r>
                    <w:rPr>
                      <w:rFonts w:hint="default" w:ascii="Times New Roman" w:hAnsi="Times New Roman" w:cs="Times New Roman"/>
                      <w:sz w:val="20"/>
                      <w:szCs w:val="20"/>
                    </w:rPr>
                    <w:t>6</w:t>
                  </w:r>
                </w:p>
              </w:tc>
              <w:tc>
                <w:tcPr>
                  <w:tcW w:w="1278" w:type="dxa"/>
                  <w:tcBorders>
                    <w:top w:val="single" w:color="auto" w:sz="4" w:space="0"/>
                    <w:left w:val="single" w:color="auto" w:sz="4" w:space="0"/>
                    <w:bottom w:val="single" w:color="auto" w:sz="4" w:space="0"/>
                    <w:right w:val="single" w:color="auto" w:sz="4" w:space="0"/>
                  </w:tcBorders>
                </w:tcPr>
                <w:p w14:paraId="2B7B0FBA">
                  <w:pPr>
                    <w:overflowPunct w:val="0"/>
                    <w:autoSpaceDE w:val="0"/>
                    <w:autoSpaceDN w:val="0"/>
                    <w:adjustRightInd w:val="0"/>
                    <w:spacing w:after="160" w:line="259" w:lineRule="auto"/>
                    <w:textAlignment w:val="baseline"/>
                    <w:rPr>
                      <w:rFonts w:hint="default" w:ascii="Times New Roman" w:hAnsi="Times New Roman" w:cs="Times New Roman"/>
                      <w:sz w:val="20"/>
                      <w:szCs w:val="20"/>
                    </w:rPr>
                  </w:pPr>
                  <w:r>
                    <w:rPr>
                      <w:rFonts w:hint="default" w:ascii="Times New Roman" w:hAnsi="Times New Roman" w:cs="Times New Roman"/>
                      <w:sz w:val="20"/>
                      <w:szCs w:val="20"/>
                    </w:rPr>
                    <w:t>Middle</w:t>
                  </w:r>
                </w:p>
              </w:tc>
              <w:tc>
                <w:tcPr>
                  <w:tcW w:w="3769" w:type="dxa"/>
                  <w:tcBorders>
                    <w:top w:val="single" w:color="auto" w:sz="4" w:space="0"/>
                    <w:left w:val="single" w:color="auto" w:sz="4" w:space="0"/>
                    <w:bottom w:val="single" w:color="auto" w:sz="4" w:space="0"/>
                    <w:right w:val="single" w:color="auto" w:sz="4" w:space="0"/>
                  </w:tcBorders>
                </w:tcPr>
                <w:p w14:paraId="2B171F73">
                  <w:pPr>
                    <w:overflowPunct w:val="0"/>
                    <w:autoSpaceDE w:val="0"/>
                    <w:autoSpaceDN w:val="0"/>
                    <w:adjustRightInd w:val="0"/>
                    <w:spacing w:after="160" w:line="259" w:lineRule="auto"/>
                    <w:textAlignment w:val="baseline"/>
                    <w:rPr>
                      <w:rFonts w:hint="default" w:ascii="Times New Roman" w:hAnsi="Times New Roman" w:cs="Times New Roman"/>
                      <w:sz w:val="20"/>
                      <w:szCs w:val="20"/>
                    </w:rPr>
                  </w:pPr>
                  <w:r>
                    <w:rPr>
                      <w:rFonts w:hint="default" w:ascii="Times New Roman" w:hAnsi="Times New Roman" w:cs="Times New Roman"/>
                      <w:sz w:val="20"/>
                      <w:szCs w:val="20"/>
                    </w:rPr>
                    <w:t>FR2 to FR2 intra-frequency spatial domain</w:t>
                  </w:r>
                </w:p>
              </w:tc>
              <w:tc>
                <w:tcPr>
                  <w:tcW w:w="1262" w:type="dxa"/>
                  <w:tcBorders>
                    <w:top w:val="single" w:color="auto" w:sz="4" w:space="0"/>
                    <w:left w:val="single" w:color="auto" w:sz="4" w:space="0"/>
                    <w:bottom w:val="single" w:color="auto" w:sz="4" w:space="0"/>
                    <w:right w:val="single" w:color="auto" w:sz="4" w:space="0"/>
                  </w:tcBorders>
                </w:tcPr>
                <w:p w14:paraId="311E4031">
                  <w:pPr>
                    <w:overflowPunct w:val="0"/>
                    <w:autoSpaceDE w:val="0"/>
                    <w:autoSpaceDN w:val="0"/>
                    <w:adjustRightInd w:val="0"/>
                    <w:spacing w:after="160" w:line="259" w:lineRule="auto"/>
                    <w:textAlignment w:val="baseline"/>
                    <w:rPr>
                      <w:rFonts w:hint="default" w:ascii="Times New Roman" w:hAnsi="Times New Roman" w:cs="Times New Roman"/>
                      <w:sz w:val="20"/>
                      <w:szCs w:val="20"/>
                    </w:rPr>
                  </w:pPr>
                  <w:r>
                    <w:rPr>
                      <w:rFonts w:hint="default" w:ascii="Times New Roman" w:hAnsi="Times New Roman" w:cs="Times New Roman"/>
                      <w:sz w:val="20"/>
                      <w:szCs w:val="20"/>
                    </w:rPr>
                    <w:t>1</w:t>
                  </w:r>
                  <w:r>
                    <w:rPr>
                      <w:rFonts w:hint="default" w:ascii="Times New Roman" w:hAnsi="Times New Roman" w:cs="Times New Roman"/>
                      <w:sz w:val="20"/>
                      <w:szCs w:val="20"/>
                      <w:vertAlign w:val="superscript"/>
                    </w:rPr>
                    <w:t>st</w:t>
                  </w:r>
                  <w:r>
                    <w:rPr>
                      <w:rFonts w:hint="default" w:ascii="Times New Roman" w:hAnsi="Times New Roman"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7091613A">
                  <w:pPr>
                    <w:overflowPunct w:val="0"/>
                    <w:autoSpaceDE w:val="0"/>
                    <w:autoSpaceDN w:val="0"/>
                    <w:adjustRightInd w:val="0"/>
                    <w:spacing w:after="160" w:line="259" w:lineRule="auto"/>
                    <w:textAlignment w:val="baseline"/>
                    <w:rPr>
                      <w:rFonts w:hint="default" w:ascii="Times New Roman" w:hAnsi="Times New Roman" w:cs="Times New Roman"/>
                      <w:sz w:val="20"/>
                      <w:szCs w:val="20"/>
                    </w:rPr>
                  </w:pPr>
                  <w:r>
                    <w:rPr>
                      <w:rFonts w:hint="default" w:ascii="Times New Roman" w:hAnsi="Times New Roman" w:cs="Times New Roman"/>
                      <w:sz w:val="20"/>
                      <w:szCs w:val="20"/>
                    </w:rPr>
                    <w:t>Intra-cell</w:t>
                  </w:r>
                </w:p>
              </w:tc>
            </w:tr>
          </w:tbl>
          <w:p w14:paraId="0D240634">
            <w:pPr>
              <w:rPr>
                <w:rFonts w:hint="default" w:ascii="Times New Roman" w:hAnsi="Times New Roman" w:cs="Times New Roman"/>
                <w:sz w:val="20"/>
                <w:szCs w:val="20"/>
                <w:lang w:eastAsia="zh-CN"/>
              </w:rPr>
            </w:pPr>
          </w:p>
          <w:p w14:paraId="48E06A09">
            <w:pPr>
              <w:pStyle w:val="13"/>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 and Observations:</w:t>
            </w:r>
          </w:p>
          <w:p w14:paraId="6450C31E">
            <w:pPr>
              <w:pStyle w:val="13"/>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1 (vivo): RAN4 to study the three high-priority scenarios of scenario 2, 3 and 4 first for measurement prediction use-case. For scenario 6, the study can be considered after enough progress is made in AI/ML beam management.</w:t>
            </w:r>
          </w:p>
          <w:p w14:paraId="7920697A">
            <w:pPr>
              <w:pStyle w:val="13"/>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2 (OPPO): RAN4 to only study scenarios 2,3,4 in this release</w:t>
            </w:r>
          </w:p>
          <w:p w14:paraId="0F0F772C">
            <w:pPr>
              <w:pStyle w:val="13"/>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3 (Huawei): RAN4 to start the study of other scenarios than scenarios 2,3,4 if RAN2 achieves sufficient progress.</w:t>
            </w:r>
          </w:p>
          <w:p w14:paraId="44B95D95">
            <w:pPr>
              <w:pStyle w:val="13"/>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4 (Apple): RAN4 should evaluate the combined benefits of RRM measurement predictions across multiple domains (such as spatial beam/cell, frequency, and temporal) and dimensions (across various cells and frequencies). Additionally, a working plan should be established to investigate scenarios that maximize these potential advantages.</w:t>
            </w:r>
          </w:p>
          <w:p w14:paraId="5607FE91">
            <w:pPr>
              <w:pStyle w:val="13"/>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Proposal 5 (CMCC): it is proposed to firstly focus on scenario 2, 3, 4. If time allows, scenario 6 can be considered later.  </w:t>
            </w:r>
          </w:p>
          <w:p w14:paraId="374C1C8F">
            <w:pPr>
              <w:pStyle w:val="13"/>
              <w:numPr>
                <w:ilvl w:val="1"/>
                <w:numId w:val="4"/>
              </w:numPr>
              <w:spacing w:before="120" w:after="120"/>
              <w:ind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Yu Mincho" w:cs="Times New Roman"/>
                <w:sz w:val="20"/>
                <w:szCs w:val="20"/>
              </w:rPr>
              <w:t>Proposal 6 (Samsung): RAN4 to deprioritize studying the impacts on requirements for beam level spatial domain prediction (i.e., FR2 to FR2 intra-frequency spatial domain scenario 6) in AI mobility</w:t>
            </w:r>
          </w:p>
        </w:tc>
      </w:tr>
    </w:tbl>
    <w:p w14:paraId="6BF99817">
      <w:pPr>
        <w:spacing w:after="180" w:line="240" w:lineRule="exact"/>
        <w:rPr>
          <w:rFonts w:hint="eastAsia" w:ascii="Times New Roman" w:hAnsi="Times New Roman" w:eastAsia="等线"/>
          <w:bCs/>
          <w:iCs/>
          <w:sz w:val="20"/>
          <w:szCs w:val="20"/>
          <w:lang w:val="en-US" w:eastAsia="zh-CN"/>
        </w:rPr>
      </w:pPr>
    </w:p>
    <w:p w14:paraId="0804E9A6">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It was agreed that RAN4 to start the discussion for scenario 2, 3, 4 [6]. As for scenario 6 (</w:t>
      </w:r>
      <w:r>
        <w:rPr>
          <w:rFonts w:hint="default" w:ascii="Times New Roman" w:hAnsi="Times New Roman" w:eastAsia="Yu Mincho" w:cs="Times New Roman"/>
          <w:sz w:val="20"/>
          <w:szCs w:val="20"/>
        </w:rPr>
        <w:t>FR2 to FR2 intra-frequency spatial domain</w:t>
      </w:r>
      <w:r>
        <w:rPr>
          <w:rFonts w:hint="eastAsia" w:ascii="Times New Roman" w:hAnsi="Times New Roman" w:eastAsia="等线" w:cs="Times New Roman"/>
          <w:bCs/>
          <w:iCs/>
          <w:sz w:val="20"/>
          <w:szCs w:val="20"/>
          <w:lang w:val="en-US" w:eastAsia="zh-CN"/>
        </w:rPr>
        <w:t>), according to RAN2 agreements, the priority is middle. As for how to handle this scenario in RAN4, our preference is that currently focus on scenario 2, 3, 4, scenario 6 can be considered later if time allows. The reason is that scenario 6 is more like the use case of beam management in AI/ML for air interface which is under discussion in Rel-19. it is better to avoid the duplicated discussion.</w:t>
      </w:r>
    </w:p>
    <w:p w14:paraId="6EB90835">
      <w:pPr>
        <w:spacing w:after="180" w:line="240" w:lineRule="exact"/>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1: it is proposed to firstly focus on scenario 2, 3, 4. If time allows, scenario 6 can be considered later.  </w:t>
      </w:r>
    </w:p>
    <w:p w14:paraId="5AA2AEA6">
      <w:pPr>
        <w:spacing w:after="180" w:line="240" w:lineRule="exact"/>
        <w:rPr>
          <w:rFonts w:hint="default" w:ascii="Times New Roman" w:hAnsi="Times New Roman" w:eastAsia="等线" w:cs="Times New Roman"/>
          <w:b/>
          <w:bCs w:val="0"/>
          <w:i/>
          <w:iCs w:val="0"/>
          <w:sz w:val="20"/>
          <w:szCs w:val="20"/>
          <w:lang w:val="en-US" w:eastAsia="zh-CN"/>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DAA5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FE16C4D">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Issue 1-1-4: Sub-use-case priorities</w:t>
            </w:r>
          </w:p>
          <w:p w14:paraId="6604A79A">
            <w:pPr>
              <w:pStyle w:val="13"/>
              <w:numPr>
                <w:ilvl w:val="0"/>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RRM measurement prediction including intra and inter-frequency (UE sided and NW sided model) </w:t>
            </w:r>
            <w:r>
              <w:rPr>
                <w:rFonts w:hint="default" w:ascii="Times New Roman" w:hAnsi="Times New Roman" w:cs="Times New Roman"/>
                <w:color w:val="000000" w:themeColor="text1"/>
                <w:sz w:val="20"/>
                <w:szCs w:val="20"/>
                <w14:textFill>
                  <w14:solidFill>
                    <w14:schemeClr w14:val="tx1"/>
                  </w14:solidFill>
                </w14:textFill>
              </w:rPr>
              <w:t>At RAN2#125bis, the following sub-use cases were agreed for RRM measurement prediction:</w:t>
            </w:r>
          </w:p>
          <w:p w14:paraId="5B9EB2C8">
            <w:pPr>
              <w:pStyle w:val="13"/>
              <w:numPr>
                <w:ilvl w:val="1"/>
                <w:numId w:val="4"/>
              </w:numPr>
              <w:tabs>
                <w:tab w:val="left" w:pos="1440"/>
              </w:tabs>
              <w:overflowPunct/>
              <w:autoSpaceDE/>
              <w:autoSpaceDN/>
              <w:adjustRightInd/>
              <w:spacing w:after="120" w:afterLines="50"/>
              <w:ind w:firstLineChars="0"/>
              <w:contextualSpacing/>
              <w:jc w:val="both"/>
              <w:rPr>
                <w:rFonts w:hint="default" w:ascii="Times New Roman" w:hAnsi="Times New Roman" w:cs="Times New Roman"/>
                <w:sz w:val="20"/>
                <w:szCs w:val="20"/>
              </w:rPr>
            </w:pPr>
            <w:r>
              <w:rPr>
                <w:rFonts w:hint="default" w:ascii="Times New Roman" w:hAnsi="Times New Roman" w:cs="Times New Roman"/>
                <w:i/>
                <w:iCs/>
                <w:sz w:val="20"/>
                <w:szCs w:val="20"/>
              </w:rPr>
              <w:t>Sub-use case 1</w:t>
            </w:r>
            <w:r>
              <w:rPr>
                <w:rFonts w:hint="default" w:ascii="Times New Roman" w:hAnsi="Times New Roman" w:cs="Times New Roman"/>
                <w:sz w:val="20"/>
                <w:szCs w:val="20"/>
              </w:rPr>
              <w:t xml:space="preserve">: L1 beam-level measurement result(s) is predicted based on actual L1 beam-level measurement result(s) and then L3 cell-level measurement result is generated </w:t>
            </w:r>
          </w:p>
          <w:p w14:paraId="723D9BD0">
            <w:pPr>
              <w:pStyle w:val="13"/>
              <w:numPr>
                <w:ilvl w:val="1"/>
                <w:numId w:val="4"/>
              </w:numPr>
              <w:tabs>
                <w:tab w:val="left" w:pos="1440"/>
              </w:tabs>
              <w:overflowPunct/>
              <w:autoSpaceDE/>
              <w:autoSpaceDN/>
              <w:adjustRightInd/>
              <w:spacing w:after="120" w:afterLines="50"/>
              <w:ind w:firstLineChars="0"/>
              <w:contextualSpacing/>
              <w:jc w:val="both"/>
              <w:rPr>
                <w:rFonts w:hint="default" w:ascii="Times New Roman" w:hAnsi="Times New Roman" w:cs="Times New Roman"/>
                <w:sz w:val="20"/>
                <w:szCs w:val="20"/>
              </w:rPr>
            </w:pPr>
            <w:r>
              <w:rPr>
                <w:rFonts w:hint="default" w:ascii="Times New Roman" w:hAnsi="Times New Roman" w:cs="Times New Roman"/>
                <w:i/>
                <w:iCs/>
                <w:sz w:val="20"/>
                <w:szCs w:val="20"/>
              </w:rPr>
              <w:t>Sub-use case 2</w:t>
            </w:r>
            <w:r>
              <w:rPr>
                <w:rFonts w:hint="default" w:ascii="Times New Roman" w:hAnsi="Times New Roman" w:cs="Times New Roman"/>
                <w:sz w:val="20"/>
                <w:szCs w:val="20"/>
              </w:rPr>
              <w:t>: L3 Cell-level measurement result(s) is predicted based on actual L3 cell-level measurement result(s)</w:t>
            </w:r>
          </w:p>
          <w:p w14:paraId="408F6FC0">
            <w:pPr>
              <w:pStyle w:val="13"/>
              <w:numPr>
                <w:ilvl w:val="1"/>
                <w:numId w:val="4"/>
              </w:numPr>
              <w:tabs>
                <w:tab w:val="left" w:pos="1440"/>
              </w:tabs>
              <w:overflowPunct/>
              <w:autoSpaceDE/>
              <w:autoSpaceDN/>
              <w:adjustRightInd/>
              <w:spacing w:after="120" w:afterLines="50"/>
              <w:ind w:firstLineChars="0"/>
              <w:contextualSpacing/>
              <w:jc w:val="both"/>
              <w:rPr>
                <w:rFonts w:hint="default" w:ascii="Times New Roman" w:hAnsi="Times New Roman" w:cs="Times New Roman"/>
                <w:sz w:val="20"/>
                <w:szCs w:val="20"/>
              </w:rPr>
            </w:pPr>
            <w:r>
              <w:rPr>
                <w:rFonts w:hint="default" w:ascii="Times New Roman" w:hAnsi="Times New Roman" w:cs="Times New Roman"/>
                <w:i/>
                <w:iCs/>
                <w:sz w:val="20"/>
                <w:szCs w:val="20"/>
              </w:rPr>
              <w:t>Sub-use case 3</w:t>
            </w:r>
            <w:r>
              <w:rPr>
                <w:rFonts w:hint="default" w:ascii="Times New Roman" w:hAnsi="Times New Roman" w:cs="Times New Roman"/>
                <w:sz w:val="20"/>
                <w:szCs w:val="20"/>
              </w:rPr>
              <w:t>: L3 Cell-level measurement result(s) is predicted based on actual L1 beam-level measurement result(s)</w:t>
            </w:r>
          </w:p>
          <w:p w14:paraId="59BEF5E2">
            <w:pPr>
              <w:pStyle w:val="13"/>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 and Observations:</w:t>
            </w:r>
          </w:p>
          <w:p w14:paraId="0DEBD6D7">
            <w:pPr>
              <w:pStyle w:val="13"/>
              <w:numPr>
                <w:ilvl w:val="1"/>
                <w:numId w:val="4"/>
              </w:numPr>
              <w:spacing w:before="120" w:after="120"/>
              <w:ind w:left="1656" w:leftChars="0" w:hanging="360"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1 (Huawei): RAN4 to consider all three sub-use cases until RAN2 gives the priority.</w:t>
            </w:r>
          </w:p>
          <w:p w14:paraId="2B9DB3A0">
            <w:pPr>
              <w:pStyle w:val="13"/>
              <w:numPr>
                <w:ilvl w:val="1"/>
                <w:numId w:val="4"/>
              </w:numPr>
              <w:spacing w:before="120" w:after="120"/>
              <w:ind w:left="1656" w:leftChars="0" w:hanging="360"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2 (vivo): Before performing enough evaluation and reaching an aligned conclusion prediction performance in terms of three sub-use cases, RAN4 not to have any deprioritization given to any sub-use cases.</w:t>
            </w:r>
          </w:p>
          <w:p w14:paraId="5C00B978">
            <w:pPr>
              <w:pStyle w:val="13"/>
              <w:numPr>
                <w:ilvl w:val="1"/>
                <w:numId w:val="4"/>
              </w:numPr>
              <w:spacing w:before="120" w:after="120"/>
              <w:ind w:left="1656" w:leftChars="0" w:hanging="360"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3 (CMCC): it is proposed to consider all three sub-use cases.</w:t>
            </w:r>
          </w:p>
          <w:p w14:paraId="22D82137">
            <w:pPr>
              <w:pStyle w:val="13"/>
              <w:numPr>
                <w:ilvl w:val="1"/>
                <w:numId w:val="4"/>
              </w:numPr>
              <w:spacing w:before="120" w:after="120"/>
              <w:ind w:left="1656" w:leftChars="0" w:hanging="360"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4 (QC): RAN4 to consider all three sub-use cases, with higher prioritization given to sub-use case 2 and 3.</w:t>
            </w:r>
          </w:p>
          <w:p w14:paraId="587EEEAE">
            <w:pPr>
              <w:pStyle w:val="13"/>
              <w:numPr>
                <w:ilvl w:val="1"/>
                <w:numId w:val="4"/>
              </w:numPr>
              <w:spacing w:before="120" w:after="120"/>
              <w:ind w:left="1656" w:leftChars="0" w:hanging="360"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FFS on whether and how to differentiate Sub-use case 2 and 3, e.g. one of or both sub-use case can be considered in defining RRM core and performance requirements</w:t>
            </w:r>
            <w:r>
              <w:rPr>
                <w:rFonts w:hint="default" w:ascii="Times New Roman" w:hAnsi="Times New Roman" w:eastAsia="Yu Mincho" w:cs="Times New Roman"/>
                <w:sz w:val="20"/>
                <w:szCs w:val="20"/>
                <w:lang w:val="sv-SE"/>
              </w:rPr>
              <w:t>.</w:t>
            </w:r>
          </w:p>
          <w:p w14:paraId="0083145A">
            <w:pPr>
              <w:pStyle w:val="13"/>
              <w:numPr>
                <w:ilvl w:val="1"/>
                <w:numId w:val="4"/>
              </w:numPr>
              <w:spacing w:before="120" w:after="120"/>
              <w:ind w:left="1656" w:leftChars="0" w:hanging="360" w:firstLineChars="0"/>
              <w:rPr>
                <w:rFonts w:hint="default" w:ascii="Times New Roman" w:hAnsi="Times New Roman" w:eastAsia="Yu Mincho" w:cs="Times New Roman"/>
                <w:sz w:val="20"/>
                <w:szCs w:val="20"/>
                <w:lang w:val="en-US" w:eastAsia="zh-CN"/>
              </w:rPr>
            </w:pPr>
            <w:r>
              <w:rPr>
                <w:rFonts w:hint="default" w:ascii="Times New Roman" w:hAnsi="Times New Roman" w:eastAsia="Yu Mincho" w:cs="Times New Roman"/>
                <w:sz w:val="20"/>
                <w:szCs w:val="20"/>
                <w:lang w:val="sv-SE"/>
              </w:rPr>
              <w:t>Proposal 5 (Ericsson): RAN4 to prioritize sub case 2, where cell level measurements are used for the cell level RRM measurement prediction, for the requirement discussion for the temporal prediction cases.</w:t>
            </w:r>
          </w:p>
          <w:p w14:paraId="5A00B53B">
            <w:pPr>
              <w:pStyle w:val="13"/>
              <w:numPr>
                <w:ilvl w:val="1"/>
                <w:numId w:val="4"/>
              </w:numPr>
              <w:spacing w:before="120" w:after="120"/>
              <w:ind w:left="1656" w:leftChars="0" w:hanging="360"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Yu Mincho" w:cs="Times New Roman"/>
                <w:sz w:val="20"/>
                <w:szCs w:val="20"/>
                <w:lang w:eastAsia="zh-CN"/>
              </w:rPr>
              <w:t>Proposal 6 (Samsung): RAN4 to consider the Sub-use-case 2 as a baseline for the study of scenarios 2, 3, and 4 for cell-level prediction</w:t>
            </w:r>
          </w:p>
        </w:tc>
      </w:tr>
    </w:tbl>
    <w:p w14:paraId="1A39E62F">
      <w:pPr>
        <w:spacing w:after="180" w:line="240" w:lineRule="exact"/>
        <w:rPr>
          <w:rFonts w:hint="eastAsia" w:ascii="Times New Roman" w:hAnsi="Times New Roman" w:eastAsia="等线"/>
          <w:bCs/>
          <w:iCs/>
          <w:sz w:val="20"/>
          <w:szCs w:val="20"/>
          <w:lang w:val="en-US" w:eastAsia="zh-CN"/>
        </w:rPr>
      </w:pPr>
    </w:p>
    <w:p w14:paraId="5E1A8C8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In RAN4 #112bis meeting, it was agreed that RAN4 to start the discussion for scenario 2, 3, 4. Further clarification can be discussed for the scenarios. According to the discussion in previous meeting, one issue identified is that it is not clear whether only serving cell or both serving cell and neighbouring cell are considered for the intra-frequency evaluation scenario.</w:t>
      </w:r>
    </w:p>
    <w:p w14:paraId="68FDD74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According to the discussion and simulation in RAN2, scenario number 2 (intra-frequency intra-cell temporal domain case B prediction) (scenario number 2,5) is evaluated by predicting a sub set of measurement instances in temporal domain of the same cell for FR1. Scenario number 3(</w:t>
      </w:r>
      <w:r>
        <w:rPr>
          <w:rFonts w:hint="default" w:ascii="Times New Roman" w:hAnsi="Times New Roman" w:eastAsia="等线" w:cs="Times New Roman"/>
          <w:bCs/>
          <w:iCs/>
          <w:sz w:val="20"/>
          <w:szCs w:val="20"/>
          <w:lang w:val="en-US" w:eastAsia="zh-CN"/>
        </w:rPr>
        <w:t>FR1 to FR1 inter-frequency inter-cell prediction</w:t>
      </w:r>
      <w:r>
        <w:rPr>
          <w:rFonts w:hint="eastAsia" w:ascii="Times New Roman" w:hAnsi="Times New Roman" w:eastAsia="等线" w:cs="Times New Roman"/>
          <w:bCs/>
          <w:iCs/>
          <w:sz w:val="20"/>
          <w:szCs w:val="20"/>
          <w:lang w:val="en-US" w:eastAsia="zh-CN"/>
        </w:rPr>
        <w:t>)</w:t>
      </w:r>
      <w:r>
        <w:rPr>
          <w:rFonts w:hint="default" w:ascii="Times New Roman" w:hAnsi="Times New Roman" w:eastAsia="等线" w:cs="Times New Roman"/>
          <w:bCs/>
          <w:iCs/>
          <w:sz w:val="20"/>
          <w:szCs w:val="20"/>
          <w:lang w:val="en-US" w:eastAsia="zh-CN"/>
        </w:rPr>
        <w:t xml:space="preserve"> focus on the case where cell to be measured and cell to be predicted are located in the same sector of either serving site or same neighbouring site</w:t>
      </w:r>
      <w:r>
        <w:rPr>
          <w:rFonts w:hint="eastAsia" w:ascii="Times New Roman" w:hAnsi="Times New Roman" w:eastAsia="等线" w:cs="Times New Roman"/>
          <w:bCs/>
          <w:iCs/>
          <w:sz w:val="20"/>
          <w:szCs w:val="20"/>
          <w:lang w:val="en-US" w:eastAsia="zh-CN"/>
        </w:rPr>
        <w:t>. Scenario number 4 (intra-frequency intra-cell temporal domain case A prediction) is evaluated by predicting measurement result(s) in prediction window based on actual measurement result(s) in observation window of the same cell for FR1 without reducing any measurement in observation window. It can be seen that for intra-frequency, the main focus is intra-cell, which in our understanding target for serving cell.</w:t>
      </w:r>
    </w:p>
    <w:p w14:paraId="4A7E286E">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eastAsia="等线" w:cs="Times New Roman"/>
          <w:bCs/>
          <w:iCs/>
          <w:sz w:val="20"/>
          <w:szCs w:val="20"/>
          <w:lang w:val="en-US" w:eastAsia="zh-CN"/>
        </w:rPr>
      </w:pPr>
      <w:r>
        <w:rPr>
          <w:rFonts w:hint="default" w:ascii="Times New Roman" w:hAnsi="Times New Roman" w:eastAsia="等线" w:cs="Times New Roman"/>
          <w:bCs/>
          <w:iCs/>
          <w:sz w:val="20"/>
          <w:szCs w:val="20"/>
          <w:lang w:val="en-US" w:eastAsia="zh-CN"/>
        </w:rPr>
        <w:t xml:space="preserve">Table 1 </w:t>
      </w:r>
      <w:r>
        <w:rPr>
          <w:rFonts w:hint="default" w:ascii="Times New Roman" w:hAnsi="Times New Roman" w:cs="Times New Roman"/>
          <w:b w:val="0"/>
          <w:bCs/>
          <w:sz w:val="20"/>
          <w:szCs w:val="20"/>
        </w:rPr>
        <w:t>Prioritization of evaluation scenarios in RAN2</w:t>
      </w:r>
    </w:p>
    <w:tbl>
      <w:tblPr>
        <w:tblStyle w:val="11"/>
        <w:tblW w:w="8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6"/>
        <w:gridCol w:w="1278"/>
        <w:gridCol w:w="3769"/>
        <w:gridCol w:w="1262"/>
        <w:gridCol w:w="1339"/>
      </w:tblGrid>
      <w:tr w14:paraId="2239E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46" w:type="dxa"/>
            <w:tcBorders>
              <w:top w:val="single" w:color="auto" w:sz="4" w:space="0"/>
              <w:left w:val="single" w:color="auto" w:sz="4" w:space="0"/>
              <w:bottom w:val="single" w:color="auto" w:sz="4" w:space="0"/>
              <w:right w:val="single" w:color="auto" w:sz="4" w:space="0"/>
            </w:tcBorders>
          </w:tcPr>
          <w:p w14:paraId="6A96BB92">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Scenario number</w:t>
            </w:r>
          </w:p>
        </w:tc>
        <w:tc>
          <w:tcPr>
            <w:tcW w:w="1278" w:type="dxa"/>
            <w:tcBorders>
              <w:top w:val="single" w:color="auto" w:sz="4" w:space="0"/>
              <w:left w:val="single" w:color="auto" w:sz="4" w:space="0"/>
              <w:bottom w:val="single" w:color="auto" w:sz="4" w:space="0"/>
              <w:right w:val="single" w:color="auto" w:sz="4" w:space="0"/>
            </w:tcBorders>
          </w:tcPr>
          <w:p w14:paraId="7396DA01">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 xml:space="preserve">Priority </w:t>
            </w:r>
          </w:p>
        </w:tc>
        <w:tc>
          <w:tcPr>
            <w:tcW w:w="3769" w:type="dxa"/>
            <w:tcBorders>
              <w:top w:val="single" w:color="auto" w:sz="4" w:space="0"/>
              <w:left w:val="single" w:color="auto" w:sz="4" w:space="0"/>
              <w:bottom w:val="single" w:color="auto" w:sz="4" w:space="0"/>
              <w:right w:val="single" w:color="auto" w:sz="4" w:space="0"/>
            </w:tcBorders>
          </w:tcPr>
          <w:p w14:paraId="1CCD09D0">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Evaluation scenario</w:t>
            </w:r>
          </w:p>
        </w:tc>
        <w:tc>
          <w:tcPr>
            <w:tcW w:w="1262" w:type="dxa"/>
            <w:tcBorders>
              <w:top w:val="single" w:color="auto" w:sz="4" w:space="0"/>
              <w:left w:val="single" w:color="auto" w:sz="4" w:space="0"/>
              <w:bottom w:val="single" w:color="auto" w:sz="4" w:space="0"/>
              <w:right w:val="single" w:color="auto" w:sz="4" w:space="0"/>
            </w:tcBorders>
          </w:tcPr>
          <w:p w14:paraId="24C1F146">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Target study goal</w:t>
            </w:r>
          </w:p>
        </w:tc>
        <w:tc>
          <w:tcPr>
            <w:tcW w:w="1339" w:type="dxa"/>
            <w:tcBorders>
              <w:top w:val="single" w:color="auto" w:sz="4" w:space="0"/>
              <w:left w:val="single" w:color="auto" w:sz="4" w:space="0"/>
              <w:bottom w:val="single" w:color="auto" w:sz="4" w:space="0"/>
              <w:right w:val="single" w:color="auto" w:sz="4" w:space="0"/>
            </w:tcBorders>
          </w:tcPr>
          <w:p w14:paraId="7ECCBAD9">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Methodology</w:t>
            </w:r>
          </w:p>
        </w:tc>
      </w:tr>
      <w:tr w14:paraId="53537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22D6734F">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p>
        </w:tc>
        <w:tc>
          <w:tcPr>
            <w:tcW w:w="1278" w:type="dxa"/>
            <w:tcBorders>
              <w:top w:val="single" w:color="auto" w:sz="4" w:space="0"/>
              <w:left w:val="single" w:color="auto" w:sz="4" w:space="0"/>
              <w:bottom w:val="single" w:color="auto" w:sz="4" w:space="0"/>
              <w:right w:val="single" w:color="auto" w:sz="4" w:space="0"/>
            </w:tcBorders>
          </w:tcPr>
          <w:p w14:paraId="0BD18821">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Low</w:t>
            </w:r>
          </w:p>
        </w:tc>
        <w:tc>
          <w:tcPr>
            <w:tcW w:w="3769" w:type="dxa"/>
            <w:tcBorders>
              <w:top w:val="single" w:color="auto" w:sz="4" w:space="0"/>
              <w:left w:val="single" w:color="auto" w:sz="4" w:space="0"/>
              <w:bottom w:val="single" w:color="auto" w:sz="4" w:space="0"/>
              <w:right w:val="single" w:color="auto" w:sz="4" w:space="0"/>
            </w:tcBorders>
          </w:tcPr>
          <w:p w14:paraId="2D2CE01E">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FR1 to FR1 intra-frequency temporal domain case A</w:t>
            </w:r>
          </w:p>
        </w:tc>
        <w:tc>
          <w:tcPr>
            <w:tcW w:w="1262" w:type="dxa"/>
            <w:tcBorders>
              <w:top w:val="single" w:color="auto" w:sz="4" w:space="0"/>
              <w:left w:val="single" w:color="auto" w:sz="4" w:space="0"/>
              <w:bottom w:val="single" w:color="auto" w:sz="4" w:space="0"/>
              <w:right w:val="single" w:color="auto" w:sz="4" w:space="0"/>
            </w:tcBorders>
          </w:tcPr>
          <w:p w14:paraId="42FCFF2F">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2</w:t>
            </w:r>
            <w:r>
              <w:rPr>
                <w:rFonts w:hint="default" w:ascii="Times New Roman" w:hAnsi="Times New Roman" w:eastAsia="Yu Mincho" w:cs="Times New Roman"/>
                <w:sz w:val="20"/>
                <w:szCs w:val="20"/>
                <w:vertAlign w:val="superscript"/>
              </w:rPr>
              <w:t>nd</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2E1E6CB1">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TBD</w:t>
            </w:r>
          </w:p>
        </w:tc>
      </w:tr>
      <w:tr w14:paraId="1054B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4023ABB2">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2</w:t>
            </w:r>
          </w:p>
        </w:tc>
        <w:tc>
          <w:tcPr>
            <w:tcW w:w="1278" w:type="dxa"/>
            <w:tcBorders>
              <w:top w:val="single" w:color="auto" w:sz="4" w:space="0"/>
              <w:left w:val="single" w:color="auto" w:sz="4" w:space="0"/>
              <w:bottom w:val="single" w:color="auto" w:sz="4" w:space="0"/>
              <w:right w:val="single" w:color="auto" w:sz="4" w:space="0"/>
            </w:tcBorders>
          </w:tcPr>
          <w:p w14:paraId="310BD307">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High</w:t>
            </w:r>
          </w:p>
        </w:tc>
        <w:tc>
          <w:tcPr>
            <w:tcW w:w="3769" w:type="dxa"/>
            <w:tcBorders>
              <w:top w:val="single" w:color="auto" w:sz="4" w:space="0"/>
              <w:left w:val="single" w:color="auto" w:sz="4" w:space="0"/>
              <w:bottom w:val="single" w:color="auto" w:sz="4" w:space="0"/>
              <w:right w:val="single" w:color="auto" w:sz="4" w:space="0"/>
            </w:tcBorders>
          </w:tcPr>
          <w:p w14:paraId="0B1D4FE0">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FR1 to FR1 intra-frequency temporal domain case B</w:t>
            </w:r>
          </w:p>
        </w:tc>
        <w:tc>
          <w:tcPr>
            <w:tcW w:w="1262" w:type="dxa"/>
            <w:tcBorders>
              <w:top w:val="single" w:color="auto" w:sz="4" w:space="0"/>
              <w:left w:val="single" w:color="auto" w:sz="4" w:space="0"/>
              <w:bottom w:val="single" w:color="auto" w:sz="4" w:space="0"/>
              <w:right w:val="single" w:color="auto" w:sz="4" w:space="0"/>
            </w:tcBorders>
          </w:tcPr>
          <w:p w14:paraId="35E2E472">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r>
              <w:rPr>
                <w:rFonts w:hint="default" w:ascii="Times New Roman" w:hAnsi="Times New Roman" w:eastAsia="Yu Mincho" w:cs="Times New Roman"/>
                <w:sz w:val="20"/>
                <w:szCs w:val="20"/>
                <w:vertAlign w:val="superscript"/>
              </w:rPr>
              <w:t>st</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02CE6AFC">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vertAlign w:val="superscript"/>
              </w:rPr>
            </w:pPr>
            <w:r>
              <w:rPr>
                <w:rFonts w:hint="default" w:ascii="Times New Roman" w:hAnsi="Times New Roman" w:eastAsia="Yu Mincho" w:cs="Times New Roman"/>
                <w:sz w:val="20"/>
                <w:szCs w:val="20"/>
              </w:rPr>
              <w:t>Intra-cell</w:t>
            </w:r>
          </w:p>
        </w:tc>
      </w:tr>
      <w:tr w14:paraId="5B833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215CC479">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3</w:t>
            </w:r>
          </w:p>
        </w:tc>
        <w:tc>
          <w:tcPr>
            <w:tcW w:w="1278" w:type="dxa"/>
            <w:tcBorders>
              <w:top w:val="single" w:color="auto" w:sz="4" w:space="0"/>
              <w:left w:val="single" w:color="auto" w:sz="4" w:space="0"/>
              <w:bottom w:val="single" w:color="auto" w:sz="4" w:space="0"/>
              <w:right w:val="single" w:color="auto" w:sz="4" w:space="0"/>
            </w:tcBorders>
          </w:tcPr>
          <w:p w14:paraId="43B019C7">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High</w:t>
            </w:r>
          </w:p>
        </w:tc>
        <w:tc>
          <w:tcPr>
            <w:tcW w:w="3769" w:type="dxa"/>
            <w:tcBorders>
              <w:top w:val="single" w:color="auto" w:sz="4" w:space="0"/>
              <w:left w:val="single" w:color="auto" w:sz="4" w:space="0"/>
              <w:bottom w:val="single" w:color="auto" w:sz="4" w:space="0"/>
              <w:right w:val="single" w:color="auto" w:sz="4" w:space="0"/>
            </w:tcBorders>
          </w:tcPr>
          <w:p w14:paraId="1008B895">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FR1 to FR1 inter-frequency (frequency domain)</w:t>
            </w:r>
          </w:p>
        </w:tc>
        <w:tc>
          <w:tcPr>
            <w:tcW w:w="1262" w:type="dxa"/>
            <w:tcBorders>
              <w:top w:val="single" w:color="auto" w:sz="4" w:space="0"/>
              <w:left w:val="single" w:color="auto" w:sz="4" w:space="0"/>
              <w:bottom w:val="single" w:color="auto" w:sz="4" w:space="0"/>
              <w:right w:val="single" w:color="auto" w:sz="4" w:space="0"/>
            </w:tcBorders>
          </w:tcPr>
          <w:p w14:paraId="47C0C98D">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r>
              <w:rPr>
                <w:rFonts w:hint="default" w:ascii="Times New Roman" w:hAnsi="Times New Roman" w:eastAsia="Yu Mincho" w:cs="Times New Roman"/>
                <w:sz w:val="20"/>
                <w:szCs w:val="20"/>
                <w:vertAlign w:val="superscript"/>
              </w:rPr>
              <w:t>st</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79CD384B">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Inter-cell </w:t>
            </w:r>
          </w:p>
        </w:tc>
      </w:tr>
      <w:tr w14:paraId="38E7D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6BF44E37">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4</w:t>
            </w:r>
          </w:p>
        </w:tc>
        <w:tc>
          <w:tcPr>
            <w:tcW w:w="1278" w:type="dxa"/>
            <w:tcBorders>
              <w:top w:val="single" w:color="auto" w:sz="4" w:space="0"/>
              <w:left w:val="single" w:color="auto" w:sz="4" w:space="0"/>
              <w:bottom w:val="single" w:color="auto" w:sz="4" w:space="0"/>
              <w:right w:val="single" w:color="auto" w:sz="4" w:space="0"/>
            </w:tcBorders>
          </w:tcPr>
          <w:p w14:paraId="1B81A581">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High</w:t>
            </w:r>
          </w:p>
        </w:tc>
        <w:tc>
          <w:tcPr>
            <w:tcW w:w="3769" w:type="dxa"/>
            <w:tcBorders>
              <w:top w:val="single" w:color="auto" w:sz="4" w:space="0"/>
              <w:left w:val="single" w:color="auto" w:sz="4" w:space="0"/>
              <w:bottom w:val="single" w:color="auto" w:sz="4" w:space="0"/>
              <w:right w:val="single" w:color="auto" w:sz="4" w:space="0"/>
            </w:tcBorders>
          </w:tcPr>
          <w:p w14:paraId="7B6EA497">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FR2 to FR2 intra-frequency temporal domain case A</w:t>
            </w:r>
          </w:p>
        </w:tc>
        <w:tc>
          <w:tcPr>
            <w:tcW w:w="1262" w:type="dxa"/>
            <w:tcBorders>
              <w:top w:val="single" w:color="auto" w:sz="4" w:space="0"/>
              <w:left w:val="single" w:color="auto" w:sz="4" w:space="0"/>
              <w:bottom w:val="single" w:color="auto" w:sz="4" w:space="0"/>
              <w:right w:val="single" w:color="auto" w:sz="4" w:space="0"/>
            </w:tcBorders>
          </w:tcPr>
          <w:p w14:paraId="1938F623">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2</w:t>
            </w:r>
            <w:r>
              <w:rPr>
                <w:rFonts w:hint="default" w:ascii="Times New Roman" w:hAnsi="Times New Roman" w:eastAsia="Yu Mincho" w:cs="Times New Roman"/>
                <w:sz w:val="20"/>
                <w:szCs w:val="20"/>
                <w:vertAlign w:val="superscript"/>
              </w:rPr>
              <w:t>nd</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4C3662A6">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Intra-cell</w:t>
            </w:r>
          </w:p>
        </w:tc>
      </w:tr>
      <w:tr w14:paraId="2CA86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120C965D">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5</w:t>
            </w:r>
          </w:p>
        </w:tc>
        <w:tc>
          <w:tcPr>
            <w:tcW w:w="1278" w:type="dxa"/>
            <w:tcBorders>
              <w:top w:val="single" w:color="auto" w:sz="4" w:space="0"/>
              <w:left w:val="single" w:color="auto" w:sz="4" w:space="0"/>
              <w:bottom w:val="single" w:color="auto" w:sz="4" w:space="0"/>
              <w:right w:val="single" w:color="auto" w:sz="4" w:space="0"/>
            </w:tcBorders>
          </w:tcPr>
          <w:p w14:paraId="506E4B1F">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Low</w:t>
            </w:r>
          </w:p>
        </w:tc>
        <w:tc>
          <w:tcPr>
            <w:tcW w:w="3769" w:type="dxa"/>
            <w:tcBorders>
              <w:top w:val="single" w:color="auto" w:sz="4" w:space="0"/>
              <w:left w:val="single" w:color="auto" w:sz="4" w:space="0"/>
              <w:bottom w:val="single" w:color="auto" w:sz="4" w:space="0"/>
              <w:right w:val="single" w:color="auto" w:sz="4" w:space="0"/>
            </w:tcBorders>
          </w:tcPr>
          <w:p w14:paraId="655BB430">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FR2 to FR2 intra-frequency temporal domain case B</w:t>
            </w:r>
          </w:p>
        </w:tc>
        <w:tc>
          <w:tcPr>
            <w:tcW w:w="1262" w:type="dxa"/>
            <w:tcBorders>
              <w:top w:val="single" w:color="auto" w:sz="4" w:space="0"/>
              <w:left w:val="single" w:color="auto" w:sz="4" w:space="0"/>
              <w:bottom w:val="single" w:color="auto" w:sz="4" w:space="0"/>
              <w:right w:val="single" w:color="auto" w:sz="4" w:space="0"/>
            </w:tcBorders>
          </w:tcPr>
          <w:p w14:paraId="26803473">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r>
              <w:rPr>
                <w:rFonts w:hint="default" w:ascii="Times New Roman" w:hAnsi="Times New Roman" w:eastAsia="Yu Mincho" w:cs="Times New Roman"/>
                <w:sz w:val="20"/>
                <w:szCs w:val="20"/>
                <w:vertAlign w:val="superscript"/>
              </w:rPr>
              <w:t>st</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4E4BCDE6">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TBD</w:t>
            </w:r>
          </w:p>
        </w:tc>
      </w:tr>
      <w:tr w14:paraId="7C56D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3E4C6166">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6</w:t>
            </w:r>
          </w:p>
        </w:tc>
        <w:tc>
          <w:tcPr>
            <w:tcW w:w="1278" w:type="dxa"/>
            <w:tcBorders>
              <w:top w:val="single" w:color="auto" w:sz="4" w:space="0"/>
              <w:left w:val="single" w:color="auto" w:sz="4" w:space="0"/>
              <w:bottom w:val="single" w:color="auto" w:sz="4" w:space="0"/>
              <w:right w:val="single" w:color="auto" w:sz="4" w:space="0"/>
            </w:tcBorders>
          </w:tcPr>
          <w:p w14:paraId="40553ABC">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Middle</w:t>
            </w:r>
          </w:p>
        </w:tc>
        <w:tc>
          <w:tcPr>
            <w:tcW w:w="3769" w:type="dxa"/>
            <w:tcBorders>
              <w:top w:val="single" w:color="auto" w:sz="4" w:space="0"/>
              <w:left w:val="single" w:color="auto" w:sz="4" w:space="0"/>
              <w:bottom w:val="single" w:color="auto" w:sz="4" w:space="0"/>
              <w:right w:val="single" w:color="auto" w:sz="4" w:space="0"/>
            </w:tcBorders>
          </w:tcPr>
          <w:p w14:paraId="31BD574A">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FR2 to FR2 intra-frequency spatial domain</w:t>
            </w:r>
          </w:p>
        </w:tc>
        <w:tc>
          <w:tcPr>
            <w:tcW w:w="1262" w:type="dxa"/>
            <w:tcBorders>
              <w:top w:val="single" w:color="auto" w:sz="4" w:space="0"/>
              <w:left w:val="single" w:color="auto" w:sz="4" w:space="0"/>
              <w:bottom w:val="single" w:color="auto" w:sz="4" w:space="0"/>
              <w:right w:val="single" w:color="auto" w:sz="4" w:space="0"/>
            </w:tcBorders>
          </w:tcPr>
          <w:p w14:paraId="625F5A6D">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r>
              <w:rPr>
                <w:rFonts w:hint="default" w:ascii="Times New Roman" w:hAnsi="Times New Roman" w:eastAsia="Yu Mincho" w:cs="Times New Roman"/>
                <w:sz w:val="20"/>
                <w:szCs w:val="20"/>
                <w:vertAlign w:val="superscript"/>
              </w:rPr>
              <w:t>st</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1D45E6F1">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Intra-cell</w:t>
            </w:r>
          </w:p>
        </w:tc>
      </w:tr>
    </w:tbl>
    <w:p w14:paraId="7617CF2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10F2FB1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For scenario 2, 3 and 4, the sub-use case 1, 2, 3 can be discussed. In last meeting, there are proposals to prioritize some of the sub-use cases. On ona hand, all these sub-use cases are considered in RAN2, we do not see the necessity to further down-select in RAN4. On the other hand, for different use case, the inference model is used at different position in the measurement process. The AI prediction model algorithm would be different due to different input and output. The prediction accuracy may be different for different sub-use cases. Our preference is to keep all of these. If the majority view is to perform prioritation, it is proposed to consider sub-use case 1 and sub-use case 2. The reason is that both are are typical implementation. And the model output are different, one output is L1 RSRP, while the other is L3 RSRP. Both need to be considered to study the impact.</w:t>
      </w:r>
    </w:p>
    <w:p w14:paraId="4861652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2: it is proposed to consider </w:t>
      </w:r>
      <w:r>
        <w:rPr>
          <w:rFonts w:hint="default" w:ascii="Times New Roman" w:hAnsi="Times New Roman" w:eastAsia="Yu Mincho" w:cs="Times New Roman"/>
          <w:b/>
          <w:bCs w:val="0"/>
          <w:i/>
          <w:iCs w:val="0"/>
          <w:sz w:val="20"/>
          <w:szCs w:val="20"/>
        </w:rPr>
        <w:t>all three sub-use cases</w:t>
      </w:r>
      <w:r>
        <w:rPr>
          <w:rFonts w:hint="eastAsia" w:ascii="Times New Roman" w:hAnsi="Times New Roman" w:cs="Times New Roman"/>
          <w:b/>
          <w:bCs w:val="0"/>
          <w:i/>
          <w:iCs w:val="0"/>
          <w:sz w:val="20"/>
          <w:szCs w:val="20"/>
          <w:lang w:val="en-US" w:eastAsia="zh-CN"/>
        </w:rPr>
        <w:t>.</w:t>
      </w:r>
    </w:p>
    <w:p w14:paraId="75DB2688">
      <w:pPr>
        <w:spacing w:after="180" w:line="240" w:lineRule="exact"/>
        <w:rPr>
          <w:rFonts w:hint="default" w:ascii="Times New Roman" w:hAnsi="Times New Roman" w:eastAsia="等线"/>
          <w:bCs/>
          <w:iCs/>
          <w:sz w:val="20"/>
          <w:szCs w:val="20"/>
          <w:lang w:val="en-US" w:eastAsia="zh-CN"/>
        </w:rPr>
      </w:pPr>
    </w:p>
    <w:bookmarkEnd w:id="7"/>
    <w:bookmarkEnd w:id="8"/>
    <w:p w14:paraId="2F63EDF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12FE524">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w:t>
      </w:r>
      <w:r>
        <w:rPr>
          <w:rFonts w:hint="eastAsia" w:ascii="Times New Roman" w:hAnsi="Times New Roman" w:eastAsia="宋体"/>
          <w:sz w:val="20"/>
          <w:szCs w:val="20"/>
        </w:rPr>
        <w:t xml:space="preserve">n </w:t>
      </w:r>
      <w:r>
        <w:rPr>
          <w:rFonts w:hint="eastAsia" w:ascii="Times New Roman" w:hAnsi="Times New Roman" w:eastAsia="宋体"/>
          <w:sz w:val="20"/>
          <w:szCs w:val="20"/>
          <w:lang w:val="en-US" w:eastAsia="zh-CN"/>
        </w:rPr>
        <w:t>general part for AI/ML for mobility.</w:t>
      </w:r>
      <w:r>
        <w:rPr>
          <w:rFonts w:hint="eastAsia" w:ascii="Times New Roman" w:hAnsi="Times New Roman" w:eastAsia="宋体"/>
          <w:sz w:val="20"/>
          <w:szCs w:val="20"/>
        </w:rPr>
        <w:t xml:space="preserve"> T</w:t>
      </w:r>
      <w:r>
        <w:rPr>
          <w:rFonts w:hint="eastAsia" w:ascii="Times New Roman" w:hAnsi="Times New Roman"/>
          <w:sz w:val="20"/>
          <w:szCs w:val="20"/>
        </w:rPr>
        <w:t>he proposals are:</w:t>
      </w:r>
    </w:p>
    <w:p w14:paraId="2FE809B1">
      <w:pPr>
        <w:spacing w:after="180" w:line="240" w:lineRule="exact"/>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1: it is proposed to firstly focus on scenario 2, 3, 4. If time allows, scenario 6 can be considered later.  </w:t>
      </w:r>
    </w:p>
    <w:p w14:paraId="24EB59D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2: it is proposed to consider </w:t>
      </w:r>
      <w:r>
        <w:rPr>
          <w:rFonts w:hint="default" w:ascii="Times New Roman" w:hAnsi="Times New Roman" w:eastAsia="Yu Mincho" w:cs="Times New Roman"/>
          <w:b/>
          <w:bCs w:val="0"/>
          <w:i/>
          <w:iCs w:val="0"/>
          <w:sz w:val="20"/>
          <w:szCs w:val="20"/>
        </w:rPr>
        <w:t>all three sub-use cases</w:t>
      </w:r>
      <w:r>
        <w:rPr>
          <w:rFonts w:hint="eastAsia" w:ascii="Times New Roman" w:hAnsi="Times New Roman" w:cs="Times New Roman"/>
          <w:b/>
          <w:bCs w:val="0"/>
          <w:i/>
          <w:iCs w:val="0"/>
          <w:sz w:val="20"/>
          <w:szCs w:val="20"/>
          <w:lang w:val="en-US" w:eastAsia="zh-CN"/>
        </w:rPr>
        <w:t>.</w:t>
      </w:r>
    </w:p>
    <w:p w14:paraId="22788C99">
      <w:pPr>
        <w:tabs>
          <w:tab w:val="left" w:pos="1134"/>
        </w:tabs>
        <w:spacing w:after="180" w:line="240" w:lineRule="exact"/>
        <w:rPr>
          <w:rFonts w:hint="eastAsia" w:ascii="Times New Roman" w:hAnsi="Times New Roman"/>
          <w:sz w:val="20"/>
          <w:szCs w:val="20"/>
        </w:rPr>
      </w:pPr>
    </w:p>
    <w:p w14:paraId="5F08F1C5">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AA1F4B3">
      <w:pPr>
        <w:pStyle w:val="14"/>
        <w:framePr w:wrap="auto" w:vAnchor="margin" w:hAnchor="text" w:yAlign="inline"/>
        <w:numPr>
          <w:ilvl w:val="0"/>
          <w:numId w:val="5"/>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242393</w:t>
      </w:r>
      <w:r>
        <w:rPr>
          <w:rFonts w:ascii="Times" w:hAnsi="Times" w:eastAsia="宋体"/>
          <w:b w:val="0"/>
          <w:sz w:val="20"/>
          <w:lang w:eastAsia="zh-CN"/>
        </w:rPr>
        <w:t xml:space="preserve">, </w:t>
      </w:r>
      <w:r>
        <w:rPr>
          <w:rFonts w:hint="eastAsia" w:ascii="Times" w:hAnsi="Times" w:eastAsia="宋体"/>
          <w:b w:val="0"/>
          <w:sz w:val="20"/>
          <w:lang w:eastAsia="zh-CN"/>
        </w:rPr>
        <w:t>Revised SID on AIML for mobility in NR</w:t>
      </w:r>
    </w:p>
    <w:p w14:paraId="5B7157C7">
      <w:pPr>
        <w:pStyle w:val="14"/>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R4-2504901</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493290E0">
      <w:pPr>
        <w:pStyle w:val="14"/>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R4-2502594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03C37C82">
      <w:pPr>
        <w:pStyle w:val="14"/>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R4-2420095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738B2F24">
      <w:pPr>
        <w:pStyle w:val="14"/>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R4-2416855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720AFE6D">
      <w:pPr>
        <w:pStyle w:val="14"/>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3GPP TR 38.744</w:t>
      </w:r>
      <w:r>
        <w:rPr>
          <w:rFonts w:hint="eastAsia" w:ascii="Times" w:hAnsi="Times" w:eastAsia="宋体"/>
          <w:b w:val="0"/>
          <w:sz w:val="20"/>
          <w:lang w:val="en-US" w:eastAsia="zh-CN"/>
        </w:rPr>
        <w:t>, Study on Artificial Intelligence (AI)/Machine Learning (ML) for mobility in NR</w:t>
      </w:r>
    </w:p>
    <w:p w14:paraId="544A76EC">
      <w:pPr>
        <w:pStyle w:val="14"/>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R2-2404102</w:t>
      </w:r>
      <w:r>
        <w:rPr>
          <w:rFonts w:hint="eastAsia" w:ascii="Times" w:hAnsi="Times" w:eastAsia="宋体"/>
          <w:b w:val="0"/>
          <w:sz w:val="20"/>
          <w:lang w:val="en-US" w:eastAsia="zh-CN"/>
        </w:rPr>
        <w:t>, Report of 3GPP TSG RAN WG2 meeting #125bis</w:t>
      </w:r>
    </w:p>
    <w:p w14:paraId="70221EBB">
      <w:pPr>
        <w:pStyle w:val="14"/>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Report of 3GPP TSG RAN WG2 meeting #126</w:t>
      </w:r>
    </w:p>
    <w:p w14:paraId="49198761">
      <w:pPr>
        <w:pStyle w:val="14"/>
        <w:framePr w:wrap="auto" w:vAnchor="margin" w:hAnchor="text" w:yAlign="inline"/>
        <w:ind w:right="400"/>
        <w:jc w:val="both"/>
        <w:rPr>
          <w:rFonts w:ascii="Times" w:hAnsi="Times" w:eastAsia="宋体"/>
          <w:b w:val="0"/>
          <w:sz w:val="20"/>
          <w:lang w:eastAsia="zh-CN"/>
        </w:rPr>
      </w:pPr>
    </w:p>
    <w:p w14:paraId="49C24BC8">
      <w:pPr>
        <w:pStyle w:val="14"/>
        <w:framePr w:wrap="auto" w:vAnchor="margin" w:hAnchor="text" w:yAlign="inline"/>
        <w:ind w:right="400"/>
        <w:jc w:val="both"/>
        <w:rPr>
          <w:rFonts w:ascii="Times" w:hAnsi="Times" w:eastAsia="宋体"/>
          <w:b w:val="0"/>
          <w:sz w:val="20"/>
          <w:lang w:eastAsia="zh-CN"/>
        </w:rPr>
      </w:pPr>
    </w:p>
    <w:p w14:paraId="37201D62">
      <w:pPr>
        <w:pStyle w:val="14"/>
        <w:framePr w:wrap="auto" w:vAnchor="margin" w:hAnchor="text" w:yAlign="inline"/>
        <w:ind w:right="400"/>
        <w:jc w:val="both"/>
        <w:rPr>
          <w:rFonts w:hint="eastAsia" w:ascii="Times" w:hAnsi="Times" w:eastAsia="宋体"/>
          <w:b w:val="0"/>
          <w:sz w:val="20"/>
          <w:lang w:val="en-US" w:eastAsia="zh-CN"/>
        </w:rPr>
      </w:pPr>
    </w:p>
    <w:p w14:paraId="6079E5E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70FF"/>
    <w:rsid w:val="024C4754"/>
    <w:rsid w:val="030F42DA"/>
    <w:rsid w:val="039B37C7"/>
    <w:rsid w:val="03B64756"/>
    <w:rsid w:val="04AD59D9"/>
    <w:rsid w:val="04BA6370"/>
    <w:rsid w:val="04ED1825"/>
    <w:rsid w:val="05581271"/>
    <w:rsid w:val="08320503"/>
    <w:rsid w:val="095F3199"/>
    <w:rsid w:val="0C4E207D"/>
    <w:rsid w:val="0CA917F7"/>
    <w:rsid w:val="0E023C9B"/>
    <w:rsid w:val="0E1D4B35"/>
    <w:rsid w:val="11144517"/>
    <w:rsid w:val="12B677C2"/>
    <w:rsid w:val="133E099F"/>
    <w:rsid w:val="13E54515"/>
    <w:rsid w:val="154B4C98"/>
    <w:rsid w:val="19351A4B"/>
    <w:rsid w:val="1C092B1E"/>
    <w:rsid w:val="1E262080"/>
    <w:rsid w:val="1EA13FCF"/>
    <w:rsid w:val="20A67B9D"/>
    <w:rsid w:val="21F229A5"/>
    <w:rsid w:val="22F84732"/>
    <w:rsid w:val="29521D5A"/>
    <w:rsid w:val="296A6325"/>
    <w:rsid w:val="2A280AB9"/>
    <w:rsid w:val="2C0A6A50"/>
    <w:rsid w:val="2DCC054E"/>
    <w:rsid w:val="31B53264"/>
    <w:rsid w:val="3377765C"/>
    <w:rsid w:val="33785ABF"/>
    <w:rsid w:val="351D1843"/>
    <w:rsid w:val="3850290E"/>
    <w:rsid w:val="39A706A6"/>
    <w:rsid w:val="3AF811CC"/>
    <w:rsid w:val="3FF257A0"/>
    <w:rsid w:val="41597CC1"/>
    <w:rsid w:val="41A90D45"/>
    <w:rsid w:val="43661D77"/>
    <w:rsid w:val="4449730B"/>
    <w:rsid w:val="44923C8C"/>
    <w:rsid w:val="44ED5522"/>
    <w:rsid w:val="45251780"/>
    <w:rsid w:val="486C7D0F"/>
    <w:rsid w:val="48703FE7"/>
    <w:rsid w:val="488B6057"/>
    <w:rsid w:val="48BC1FC7"/>
    <w:rsid w:val="48BD345D"/>
    <w:rsid w:val="48F55360"/>
    <w:rsid w:val="4AAA7A11"/>
    <w:rsid w:val="4F01352B"/>
    <w:rsid w:val="4F2D5AF5"/>
    <w:rsid w:val="50AC3D18"/>
    <w:rsid w:val="521A547C"/>
    <w:rsid w:val="56582839"/>
    <w:rsid w:val="5798278D"/>
    <w:rsid w:val="59A65848"/>
    <w:rsid w:val="5AAC5686"/>
    <w:rsid w:val="5C491F27"/>
    <w:rsid w:val="5E176D14"/>
    <w:rsid w:val="601B093B"/>
    <w:rsid w:val="60C06ECB"/>
    <w:rsid w:val="617674D6"/>
    <w:rsid w:val="61802450"/>
    <w:rsid w:val="61DF3A9F"/>
    <w:rsid w:val="676E7F3D"/>
    <w:rsid w:val="67A4673A"/>
    <w:rsid w:val="6C642F64"/>
    <w:rsid w:val="71997D14"/>
    <w:rsid w:val="71A82806"/>
    <w:rsid w:val="73C17630"/>
    <w:rsid w:val="73F67ACD"/>
    <w:rsid w:val="75A5650E"/>
    <w:rsid w:val="77B91A3C"/>
    <w:rsid w:val="77F160D3"/>
    <w:rsid w:val="79670D3F"/>
    <w:rsid w:val="7A1573B8"/>
    <w:rsid w:val="7D796C4C"/>
    <w:rsid w:val="7DB24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lang w:val="en-US"/>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caption"/>
    <w:basedOn w:val="1"/>
    <w:next w:val="1"/>
    <w:qFormat/>
    <w:uiPriority w:val="99"/>
    <w:pPr>
      <w:spacing w:before="120" w:after="120"/>
    </w:pPr>
    <w:rPr>
      <w:b/>
    </w:rPr>
  </w:style>
  <w:style w:type="paragraph" w:styleId="7">
    <w:name w:val="annotation text"/>
    <w:basedOn w:val="1"/>
    <w:qFormat/>
    <w:uiPriority w:val="0"/>
  </w:style>
  <w:style w:type="paragraph" w:styleId="8">
    <w:name w:val="Body Text"/>
    <w:basedOn w:val="1"/>
    <w:qFormat/>
    <w:uiPriority w:val="0"/>
  </w:style>
  <w:style w:type="paragraph" w:styleId="9">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
    <w:name w:val="3GPP Normal Text"/>
    <w:basedOn w:val="8"/>
    <w:qFormat/>
    <w:uiPriority w:val="0"/>
    <w:pPr>
      <w:spacing w:after="120"/>
      <w:ind w:left="1440" w:hanging="1440"/>
      <w:jc w:val="both"/>
    </w:pPr>
    <w:rPr>
      <w:rFonts w:eastAsia="MS Mincho"/>
      <w:sz w:val="22"/>
      <w:szCs w:val="24"/>
      <w:lang w:val="zh-CN" w:eastAsia="zh-CN"/>
    </w:rPr>
  </w:style>
  <w:style w:type="paragraph" w:customStyle="1" w:styleId="16">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2025-05-09T08:33:39Z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99CA3F75D69E410D84A4BB8A3F58CF13</vt:lpwstr>
  </property>
</Properties>
</file>